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2EC12">
      <w:pPr>
        <w:spacing w:line="570" w:lineRule="exact"/>
        <w:jc w:val="center"/>
        <w:rPr>
          <w:rFonts w:ascii="仿宋" w:hAnsi="仿宋" w:eastAsia="仿宋" w:cs="Times New Roman"/>
          <w:i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Cs/>
          <w:sz w:val="44"/>
          <w:szCs w:val="44"/>
        </w:rPr>
        <w:t>教学管理处2024—2025学年工作计划</w:t>
      </w:r>
    </w:p>
    <w:p w14:paraId="643CA728">
      <w:pPr>
        <w:spacing w:line="570" w:lineRule="exact"/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</w:pPr>
    </w:p>
    <w:p w14:paraId="30DFCC72">
      <w:pPr>
        <w:spacing w:line="570" w:lineRule="exact"/>
        <w:ind w:firstLine="643" w:firstLineChars="200"/>
        <w:rPr>
          <w:rFonts w:hint="default" w:ascii="仿宋" w:hAnsi="仿宋" w:eastAsia="仿宋" w:cs="Times New Roman"/>
          <w:b/>
          <w:bCs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一、前言</w:t>
      </w:r>
    </w:p>
    <w:p w14:paraId="6C20CC47">
      <w:pPr>
        <w:spacing w:line="570" w:lineRule="exact"/>
        <w:ind w:firstLine="640" w:firstLineChars="200"/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2024-2025学年是学校面对新形势，抢抓新机遇，迎接新挑战之年。教学管理工作将继续以习近平新时代中国特色社会主义思想为指导，</w:t>
      </w:r>
      <w:r>
        <w:rPr>
          <w:rFonts w:hint="eastAsia" w:ascii="仿宋" w:hAnsi="仿宋" w:eastAsia="仿宋" w:cs="Times New Roman"/>
          <w:iCs/>
          <w:sz w:val="32"/>
          <w:szCs w:val="32"/>
        </w:rPr>
        <w:t>以《国家职业教育改革实施方案》为行动纲领，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对照</w:t>
      </w:r>
      <w:r>
        <w:rPr>
          <w:rFonts w:hint="eastAsia" w:ascii="仿宋" w:hAnsi="仿宋" w:eastAsia="仿宋" w:cs="Times New Roman"/>
          <w:iCs/>
          <w:sz w:val="32"/>
          <w:szCs w:val="32"/>
        </w:rPr>
        <w:t>学校“十四五”发展规划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十四五</w:t>
      </w:r>
      <w:r>
        <w:rPr>
          <w:rFonts w:hint="eastAsia" w:ascii="仿宋" w:hAnsi="仿宋" w:eastAsia="仿宋" w:cs="Times New Roman"/>
          <w:iCs/>
          <w:color w:val="auto"/>
          <w:sz w:val="32"/>
          <w:szCs w:val="32"/>
          <w:lang w:val="en-US" w:eastAsia="zh-CN"/>
        </w:rPr>
        <w:t>专业发展规划、学校“强引领、聚焦用、改善教、造高峰、实保障”学年规划以及学校的问题清单为核心，</w:t>
      </w:r>
      <w:r>
        <w:rPr>
          <w:rFonts w:hint="eastAsia" w:ascii="仿宋" w:hAnsi="仿宋" w:eastAsia="仿宋" w:cs="Times New Roman"/>
          <w:iCs/>
          <w:color w:val="auto"/>
          <w:sz w:val="32"/>
          <w:szCs w:val="32"/>
        </w:rPr>
        <w:t>以“引领发展、服务师生”</w:t>
      </w:r>
      <w:r>
        <w:rPr>
          <w:rFonts w:hint="eastAsia" w:ascii="仿宋" w:hAnsi="仿宋" w:eastAsia="仿宋" w:cs="Times New Roman"/>
          <w:iCs/>
          <w:sz w:val="32"/>
          <w:szCs w:val="32"/>
        </w:rPr>
        <w:t>为理念，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以“课程建设”和“团队建设”为主要抓手：加快专业内涵建设，继续加强各专业（学科）专业专业群建设，做好省市各级教学项目的申报工作；提高教学规范，严格对照《教学大纲》《人培方案》落实每学期课程，确保所有课程均按计划进行；优化教学内容，确保教学内容与行业需求相结合，提高学生的实践能力和创新能力。优化课程体系，根据行业发展趋势调整课程设置，增加实践教学比重；培养专业技能，强化专业课程教学，使学生掌握必要的专业技能；做好技能大赛组织协调工作，指导师生参加各级国家、省、市技能竞赛，提升各级技能大赛成绩，以赛促学实现师生竞赛中互相学习，提升教学水平；加强和规范教学常规，落实教学常规要求；加强师资队伍建设，提升教师的教学能力和专业水平。夯实基础，凝聚特色，实现</w:t>
      </w:r>
      <w:r>
        <w:rPr>
          <w:rFonts w:hint="eastAsia" w:ascii="仿宋" w:hAnsi="仿宋" w:eastAsia="仿宋" w:cs="Times New Roman"/>
          <w:iCs/>
          <w:sz w:val="32"/>
          <w:szCs w:val="32"/>
        </w:rPr>
        <w:t>用高质量的课堂培养高质量的学生，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推进学校教学工作更上一层台阶。</w:t>
      </w:r>
    </w:p>
    <w:p w14:paraId="6D891653">
      <w:pPr>
        <w:spacing w:line="570" w:lineRule="exact"/>
        <w:ind w:firstLine="643" w:firstLineChars="200"/>
        <w:rPr>
          <w:rFonts w:hint="eastAsia" w:ascii="仿宋" w:hAnsi="仿宋" w:eastAsia="仿宋" w:cs="Times New Roman"/>
          <w:b/>
          <w:bCs/>
          <w:iCs/>
          <w:sz w:val="32"/>
          <w:szCs w:val="32"/>
        </w:rPr>
      </w:pPr>
    </w:p>
    <w:p w14:paraId="7100F769">
      <w:pPr>
        <w:spacing w:line="570" w:lineRule="exact"/>
        <w:ind w:firstLine="643" w:firstLineChars="200"/>
        <w:rPr>
          <w:rFonts w:ascii="仿宋" w:hAnsi="仿宋" w:eastAsia="仿宋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二、工作内容与目标</w:t>
      </w:r>
    </w:p>
    <w:p w14:paraId="26A3296C">
      <w:pPr>
        <w:spacing w:line="570" w:lineRule="exact"/>
        <w:ind w:firstLine="643" w:firstLineChars="200"/>
        <w:rPr>
          <w:rFonts w:hint="default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1.探索以系部为核心的二级学院建设。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随着职业教育的快速发展，二级学院作为学校内部的重要组成部分，其建设和管理水平对我校整体教育质量和学术声誉有着直接影响。近年来，“以系部为核心”的二级学院建设模式逐渐受到关注。本学期起，我校强调系部在学院发展中的主体地位和作用，旨在通过优化资源配置、提升教学科研实力、加强师资队伍建设等措施，推动二级学院的全面发展和提升。尝试探索通过优化资源配置、提升教学科研实力、加强师资队伍建设以及推进产学研合作等措施，推动二级学院的全面发展和提升。</w:t>
      </w:r>
    </w:p>
    <w:p w14:paraId="6471F192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加强以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行动课堂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为重点的课程改革。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持续</w:t>
      </w:r>
      <w:r>
        <w:rPr>
          <w:rFonts w:ascii="仿宋" w:hAnsi="仿宋" w:eastAsia="仿宋" w:cs="Times New Roman"/>
          <w:iCs/>
          <w:sz w:val="32"/>
          <w:szCs w:val="32"/>
        </w:rPr>
        <w:t>开展“行动课堂”教学实践研究，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继续</w:t>
      </w:r>
      <w:r>
        <w:rPr>
          <w:rFonts w:ascii="仿宋" w:hAnsi="仿宋" w:eastAsia="仿宋" w:cs="Times New Roman"/>
          <w:iCs/>
          <w:sz w:val="32"/>
          <w:szCs w:val="32"/>
        </w:rPr>
        <w:t>研究和探索基于行动课堂的教学体系。</w:t>
      </w:r>
      <w:r>
        <w:rPr>
          <w:rFonts w:hint="eastAsia" w:ascii="仿宋" w:hAnsi="仿宋" w:eastAsia="仿宋" w:cs="Times New Roman"/>
          <w:iCs/>
          <w:sz w:val="32"/>
          <w:szCs w:val="32"/>
        </w:rPr>
        <w:t>找寻实施行动课堂的经验做法，提取行动课堂的关键要素，建设优质课程资源，提升课堂教学质量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。</w:t>
      </w:r>
    </w:p>
    <w:p w14:paraId="40D32350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color w:val="0070C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color w:val="auto"/>
          <w:sz w:val="32"/>
          <w:szCs w:val="32"/>
          <w:lang w:val="en-US" w:eastAsia="zh-CN"/>
        </w:rPr>
        <w:t>3.进一步探索评价方式改革实践。</w:t>
      </w:r>
      <w:r>
        <w:rPr>
          <w:rFonts w:hint="eastAsia" w:ascii="仿宋" w:hAnsi="仿宋" w:eastAsia="仿宋" w:cs="Times New Roman"/>
          <w:iCs/>
          <w:color w:val="auto"/>
          <w:sz w:val="32"/>
          <w:szCs w:val="32"/>
          <w:lang w:val="en-US" w:eastAsia="zh-CN"/>
        </w:rPr>
        <w:t>以导向性、全面性、多元性、实用性为原则，确立体现专业（学科）核心素养掌握情况的过程性评价细则，充分反映学生的个体差异和全面发展，培养具备职业技能和职业素养的高素质人才。</w:t>
      </w:r>
    </w:p>
    <w:p w14:paraId="6EEBE85D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4.做好专业优化调整。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以长三角一体化重大国家战略和深化新旧动能转换、建设绿色低碳高质量发展先行区为主线，深入分析行业发展、产业规划与社会需求，坚持产教融合、校企合作、科教融汇，立足区域和地方经济社会发展需要，积极融入、主动服务苏州市产业结构调整和加快建设制造业等多项重大战略，</w:t>
      </w:r>
      <w:r>
        <w:rPr>
          <w:rFonts w:hint="eastAsia" w:ascii="仿宋" w:hAnsi="仿宋" w:eastAsia="仿宋" w:cs="Times New Roman"/>
          <w:iCs/>
          <w:sz w:val="32"/>
          <w:szCs w:val="32"/>
        </w:rPr>
        <w:t>健全对接产业、动态调整、自我完善的专业群建设发展机制，促进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我校</w:t>
      </w:r>
      <w:r>
        <w:rPr>
          <w:rFonts w:hint="eastAsia" w:ascii="仿宋" w:hAnsi="仿宋" w:eastAsia="仿宋" w:cs="Times New Roman"/>
          <w:iCs/>
          <w:sz w:val="32"/>
          <w:szCs w:val="32"/>
        </w:rPr>
        <w:t>专业资源整合和结构优化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推动我校专业群持续深化改革，强化内涵建设，实现高质量发展。</w:t>
      </w:r>
      <w:r>
        <w:rPr>
          <w:rFonts w:ascii="仿宋" w:hAnsi="仿宋" w:eastAsia="仿宋" w:cs="Times New Roman"/>
          <w:iCs/>
          <w:sz w:val="32"/>
          <w:szCs w:val="32"/>
        </w:rPr>
        <w:t>进一步加强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各专业核心</w:t>
      </w:r>
      <w:r>
        <w:rPr>
          <w:rFonts w:ascii="仿宋" w:hAnsi="仿宋" w:eastAsia="仿宋" w:cs="Times New Roman"/>
          <w:iCs/>
          <w:sz w:val="32"/>
          <w:szCs w:val="32"/>
        </w:rPr>
        <w:t>课程标准研究工作，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做好新专业的申报调整工作。</w:t>
      </w:r>
    </w:p>
    <w:p w14:paraId="5933CE06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5.制订实施性人才培养方案。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各系各专业以专业建设为核心，准确定位人才培养目标和培养规格，强化核心能力培养，定期深入行业、企业进行人才需求情况调研，及时掌握学生就业及岗位能力要求变化情况，及时调整专业培养方向和培养目标，动态调整修订2022-2024级实施性人才培养方案，完成上报工作。并根据联院要求对其他各级人才培养方案开展修订。</w:t>
      </w:r>
    </w:p>
    <w:p w14:paraId="6091C714">
      <w:pPr>
        <w:spacing w:line="570" w:lineRule="exact"/>
        <w:ind w:firstLine="643" w:firstLineChars="200"/>
        <w:rPr>
          <w:rFonts w:hint="default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6.开展“档案袋”式课程标准管理</w:t>
      </w:r>
      <w:r>
        <w:rPr>
          <w:rFonts w:hint="default" w:ascii="仿宋" w:hAnsi="仿宋" w:eastAsia="仿宋" w:cs="Times New Roman"/>
          <w:b/>
          <w:bCs/>
          <w:iCs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Times New Roman"/>
          <w:iCs/>
          <w:sz w:val="32"/>
          <w:szCs w:val="32"/>
          <w:lang w:val="en-US" w:eastAsia="zh-CN"/>
        </w:rPr>
        <w:t>加强课程标准建设，做到专业课程标准集群制订、学科课程标准严格执行国标，使得我校课课有标准、课课按标准执行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Times New Roman"/>
          <w:iCs/>
          <w:sz w:val="32"/>
          <w:szCs w:val="32"/>
          <w:lang w:val="en-US" w:eastAsia="zh-CN"/>
        </w:rPr>
        <w:t>起到指导、引领作用。各系、各专业（学科）从职业需要出发，规范课程的基本要求，选择课程内容，安排教学顺序，培养学生的职业能力，制订规范的课程标准。各门课程标准制定要服从专业人才培养方案整体优化的要求，明确本门课程在专业人才培养中的地位、作用和任务，实现人的个性特长发展服务，又要为实现社会发展服务。</w:t>
      </w:r>
    </w:p>
    <w:p w14:paraId="29298700">
      <w:pPr>
        <w:spacing w:line="570" w:lineRule="exact"/>
        <w:ind w:firstLine="643" w:firstLineChars="200"/>
        <w:rPr>
          <w:rFonts w:hint="default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7.完善技能大赛赛项管理。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秉承“以赛促训，赛训结合，强化技能，知行合一”的主题，坚持“通过专业技能竞赛体系，使得专业课学习和学生能力培养相结合，各专业结合自身专业特点开展与之相适应的竞技比赛，使得课堂学习与课外比赛有机结合”。实施新的《技能大赛管理办法》，加强与技能大赛参与教师的沟通和交流，了解他们的需求和困难，进一步完善学校技能大赛管理制度，提高技能大赛管理工作的效率和质量。做好新一年学校各级技能大赛的组织管理工作。</w:t>
      </w:r>
    </w:p>
    <w:p w14:paraId="39ADEF3A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加强课堂教学常规管理工作。</w:t>
      </w:r>
      <w:r>
        <w:rPr>
          <w:rFonts w:hint="eastAsia" w:ascii="仿宋" w:hAnsi="仿宋" w:eastAsia="仿宋" w:cs="Times New Roman"/>
          <w:iCs/>
          <w:sz w:val="32"/>
          <w:szCs w:val="32"/>
        </w:rPr>
        <w:t>严格执行教学“七认真”，明确教学常规各环节的具体要求，持续推进“教学巡查”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技能巡查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Times New Roman"/>
          <w:iCs/>
          <w:sz w:val="32"/>
          <w:szCs w:val="32"/>
        </w:rPr>
        <w:t>和“推门听课”工作，做好课程安排工作。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加大</w:t>
      </w:r>
      <w:r>
        <w:rPr>
          <w:rFonts w:hint="eastAsia" w:ascii="仿宋" w:hAnsi="仿宋" w:eastAsia="仿宋" w:cs="Times New Roman"/>
          <w:iCs/>
          <w:sz w:val="32"/>
          <w:szCs w:val="32"/>
        </w:rPr>
        <w:t>对教学常规的检查力度，认真落实学校的各项教学管理制度，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做好手册的填写和督查工作，落实教学文件的档案袋式管理，</w:t>
      </w:r>
      <w:r>
        <w:rPr>
          <w:rFonts w:hint="eastAsia" w:ascii="仿宋" w:hAnsi="仿宋" w:eastAsia="仿宋" w:cs="Times New Roman"/>
          <w:iCs/>
          <w:sz w:val="32"/>
          <w:szCs w:val="32"/>
        </w:rPr>
        <w:t>促进我校教学管理规范化、制度化、科学化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。</w:t>
      </w:r>
    </w:p>
    <w:p w14:paraId="7E4D8268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.推进精品课程资源开发。</w:t>
      </w:r>
      <w:r>
        <w:rPr>
          <w:rFonts w:hint="eastAsia" w:ascii="仿宋" w:hAnsi="仿宋" w:eastAsia="仿宋" w:cs="Times New Roman"/>
          <w:iCs/>
          <w:sz w:val="32"/>
          <w:szCs w:val="32"/>
        </w:rPr>
        <w:t>为提升我校关键办学能力，深入实施国家教育数字化战略行动，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教学管理处将</w:t>
      </w:r>
      <w:r>
        <w:rPr>
          <w:rFonts w:hint="eastAsia" w:ascii="仿宋" w:hAnsi="仿宋" w:eastAsia="仿宋" w:cs="Times New Roman"/>
          <w:iCs/>
          <w:sz w:val="32"/>
          <w:szCs w:val="32"/>
        </w:rPr>
        <w:t>立项、建设一批精品课程资源，推动我校优质数字资源开发与开放共享，充分发挥在线课程在推进职业教育数字化转型升级中的作用。公共基础课程内容及时反映新知识，体现学科知识与行业（或职业）应用场景的融合；专业（技能）课程紧密对接岗位实际，反映相关领域新方法、新技术、新工艺、新标准，体现专业数字化转型，并鼓励与行业企业等合作开展课程建设与实施。</w:t>
      </w:r>
    </w:p>
    <w:p w14:paraId="0080B532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10.完善实训基地管理。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充分发挥实训基地功能，服务专业群建设，服务产学研、服务创新创业教育。落实学校校内实训基地管理制度，实施实训室安全等级分类管理制度，加强实训基地日常管理和安全管理，实行月报制度，理清学校实训室使用情况。</w:t>
      </w:r>
    </w:p>
    <w:p w14:paraId="48A649F2">
      <w:pPr>
        <w:spacing w:line="570" w:lineRule="exact"/>
        <w:ind w:firstLine="643" w:firstLineChars="200"/>
        <w:rPr>
          <w:rFonts w:ascii="仿宋" w:hAnsi="仿宋" w:eastAsia="仿宋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11.做好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职业技能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鉴定工作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。</w:t>
      </w:r>
      <w:r>
        <w:rPr>
          <w:rFonts w:hint="eastAsia" w:ascii="仿宋" w:hAnsi="仿宋" w:eastAsia="仿宋" w:cs="Times New Roman"/>
          <w:iCs/>
          <w:sz w:val="32"/>
          <w:szCs w:val="32"/>
        </w:rPr>
        <w:t>严格遵守《苏州市第三方评价机构职业技能等级认定质量评估》的相关要求，</w:t>
      </w:r>
      <w:r>
        <w:rPr>
          <w:rFonts w:ascii="仿宋" w:hAnsi="仿宋" w:eastAsia="仿宋" w:cs="Times New Roman"/>
          <w:iCs/>
          <w:sz w:val="32"/>
          <w:szCs w:val="32"/>
        </w:rPr>
        <w:t>做好职业技能鉴定的考试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中级工、高级工考工和</w:t>
      </w:r>
      <w:r>
        <w:rPr>
          <w:rFonts w:ascii="仿宋" w:hAnsi="仿宋" w:eastAsia="仿宋" w:cs="Times New Roman"/>
          <w:iCs/>
          <w:sz w:val="32"/>
          <w:szCs w:val="32"/>
        </w:rPr>
        <w:t>1+X证书试点的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考试组织工作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。</w:t>
      </w:r>
      <w:r>
        <w:rPr>
          <w:rFonts w:ascii="仿宋" w:hAnsi="仿宋" w:eastAsia="仿宋" w:cs="Times New Roman"/>
          <w:iCs/>
          <w:sz w:val="32"/>
          <w:szCs w:val="32"/>
        </w:rPr>
        <w:t>加强职业技能鉴定站管理工作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和</w:t>
      </w:r>
      <w:r>
        <w:rPr>
          <w:rFonts w:ascii="仿宋" w:hAnsi="仿宋" w:eastAsia="仿宋" w:cs="Times New Roman"/>
          <w:iCs/>
          <w:sz w:val="32"/>
          <w:szCs w:val="32"/>
        </w:rPr>
        <w:t>职业技能鉴定档案管理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，</w:t>
      </w:r>
      <w:r>
        <w:rPr>
          <w:rFonts w:ascii="仿宋" w:hAnsi="仿宋" w:eastAsia="仿宋" w:cs="Times New Roman"/>
          <w:iCs/>
          <w:sz w:val="32"/>
          <w:szCs w:val="32"/>
        </w:rPr>
        <w:t>完善职业技能鉴定场地和设备条件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，</w:t>
      </w:r>
      <w:r>
        <w:rPr>
          <w:rFonts w:ascii="仿宋" w:hAnsi="仿宋" w:eastAsia="仿宋" w:cs="Times New Roman"/>
          <w:iCs/>
          <w:sz w:val="32"/>
          <w:szCs w:val="32"/>
        </w:rPr>
        <w:t>做好已获职业技能证书的统计工作。</w:t>
      </w:r>
    </w:p>
    <w:p w14:paraId="4605D280">
      <w:pPr>
        <w:spacing w:line="570" w:lineRule="exact"/>
        <w:ind w:firstLine="643" w:firstLineChars="200"/>
        <w:rPr>
          <w:rFonts w:ascii="仿宋" w:hAnsi="仿宋" w:eastAsia="仿宋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12.细化各专业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教研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落实</w:t>
      </w:r>
      <w:r>
        <w:rPr>
          <w:rFonts w:hint="eastAsia" w:ascii="仿宋" w:hAnsi="仿宋" w:eastAsia="仿宋" w:cs="Times New Roman"/>
          <w:iCs/>
          <w:sz w:val="32"/>
          <w:szCs w:val="32"/>
        </w:rPr>
        <w:t>各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Times New Roman"/>
          <w:iCs/>
          <w:sz w:val="32"/>
          <w:szCs w:val="32"/>
        </w:rPr>
        <w:t>、各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基础教研室教研活动的组织管理工作，继续推进主题教研活动，</w:t>
      </w:r>
      <w:r>
        <w:rPr>
          <w:rFonts w:hint="eastAsia" w:ascii="仿宋" w:hAnsi="仿宋" w:eastAsia="仿宋" w:cs="Times New Roman"/>
          <w:iCs/>
          <w:sz w:val="32"/>
          <w:szCs w:val="32"/>
        </w:rPr>
        <w:t>紧密围绕课程思政、课堂教学、课程资源建设、信息技术与教学融合等主题，做好主题教研的组织安排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开</w:t>
      </w:r>
      <w:r>
        <w:rPr>
          <w:rFonts w:hint="eastAsia" w:ascii="仿宋" w:hAnsi="仿宋" w:eastAsia="仿宋" w:cs="Times New Roman"/>
          <w:iCs/>
          <w:sz w:val="32"/>
          <w:szCs w:val="32"/>
        </w:rPr>
        <w:t>展形式多样的教研活动。</w:t>
      </w:r>
    </w:p>
    <w:p w14:paraId="65D59BF6">
      <w:pPr>
        <w:spacing w:line="570" w:lineRule="exact"/>
        <w:ind w:firstLine="643" w:firstLineChars="200"/>
        <w:rPr>
          <w:rFonts w:ascii="仿宋" w:hAnsi="仿宋" w:eastAsia="仿宋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13.完成两校区教材管理工作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。指导各系、基础教学部做好新学期学生教材的</w:t>
      </w:r>
      <w:r>
        <w:rPr>
          <w:rFonts w:hint="eastAsia" w:ascii="仿宋" w:hAnsi="仿宋" w:eastAsia="仿宋" w:cs="Times New Roman"/>
          <w:iCs/>
          <w:sz w:val="32"/>
          <w:szCs w:val="32"/>
        </w:rPr>
        <w:t>征订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工作，组织做好两校区每学期新教材的</w:t>
      </w:r>
      <w:r>
        <w:rPr>
          <w:rFonts w:hint="eastAsia" w:ascii="仿宋" w:hAnsi="仿宋" w:eastAsia="仿宋" w:cs="Times New Roman"/>
          <w:iCs/>
          <w:sz w:val="32"/>
          <w:szCs w:val="32"/>
        </w:rPr>
        <w:t>发放、统计结算工作；鼓励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教师</w:t>
      </w:r>
      <w:r>
        <w:rPr>
          <w:rFonts w:hint="eastAsia" w:ascii="仿宋" w:hAnsi="仿宋" w:eastAsia="仿宋" w:cs="Times New Roman"/>
          <w:iCs/>
          <w:sz w:val="32"/>
          <w:szCs w:val="32"/>
        </w:rPr>
        <w:t>开发和编制活页式教材。</w:t>
      </w:r>
    </w:p>
    <w:p w14:paraId="4F300B73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14.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加强校内学生考试和社会监考工作。</w:t>
      </w:r>
      <w:r>
        <w:rPr>
          <w:rFonts w:hint="eastAsia" w:ascii="仿宋" w:hAnsi="仿宋" w:eastAsia="仿宋" w:cs="Times New Roman"/>
          <w:iCs/>
          <w:sz w:val="32"/>
          <w:szCs w:val="32"/>
        </w:rPr>
        <w:t>充实和完善考试模式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调整</w:t>
      </w:r>
      <w:r>
        <w:rPr>
          <w:rFonts w:hint="eastAsia" w:ascii="仿宋" w:hAnsi="仿宋" w:eastAsia="仿宋" w:cs="Times New Roman"/>
          <w:iCs/>
          <w:sz w:val="32"/>
          <w:szCs w:val="32"/>
        </w:rPr>
        <w:t>校内学生考试形式、创新建设管理方法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iCs/>
          <w:sz w:val="32"/>
          <w:szCs w:val="32"/>
        </w:rPr>
        <w:t>加强考务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流程、</w:t>
      </w:r>
      <w:r>
        <w:rPr>
          <w:rFonts w:hint="eastAsia" w:ascii="仿宋" w:hAnsi="仿宋" w:eastAsia="仿宋" w:cs="Times New Roman"/>
          <w:iCs/>
          <w:sz w:val="32"/>
          <w:szCs w:val="32"/>
        </w:rPr>
        <w:t>细节管理，加强成绩统计管理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建立</w:t>
      </w:r>
      <w:r>
        <w:rPr>
          <w:rFonts w:hint="eastAsia" w:ascii="仿宋" w:hAnsi="仿宋" w:eastAsia="仿宋" w:cs="Times New Roman"/>
          <w:iCs/>
          <w:sz w:val="32"/>
          <w:szCs w:val="32"/>
        </w:rPr>
        <w:t>课程重修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机制</w:t>
      </w:r>
      <w:r>
        <w:rPr>
          <w:rFonts w:hint="eastAsia" w:ascii="仿宋" w:hAnsi="仿宋" w:eastAsia="仿宋" w:cs="Times New Roman"/>
          <w:i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Times New Roman"/>
          <w:iCs/>
          <w:sz w:val="32"/>
          <w:szCs w:val="32"/>
        </w:rPr>
        <w:t>组织教师做好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教育</w:t>
      </w:r>
      <w:r>
        <w:rPr>
          <w:rFonts w:hint="eastAsia" w:ascii="仿宋" w:hAnsi="仿宋" w:eastAsia="仿宋" w:cs="Times New Roman"/>
          <w:iCs/>
          <w:sz w:val="32"/>
          <w:szCs w:val="32"/>
        </w:rPr>
        <w:t>考试院、人社局的各类社会监考工作。</w:t>
      </w:r>
    </w:p>
    <w:p w14:paraId="24AA110A">
      <w:pPr>
        <w:spacing w:line="570" w:lineRule="exact"/>
        <w:ind w:firstLine="643" w:firstLineChars="200"/>
        <w:rPr>
          <w:rFonts w:ascii="仿宋" w:hAnsi="仿宋" w:eastAsia="仿宋"/>
          <w:i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15.完成省学业水平考试组考工作</w:t>
      </w:r>
      <w:r>
        <w:rPr>
          <w:rFonts w:hint="eastAsia" w:ascii="仿宋" w:hAnsi="仿宋" w:eastAsia="仿宋" w:cs="Times New Roman"/>
          <w:b/>
          <w:bCs/>
          <w:iCs/>
          <w:sz w:val="32"/>
          <w:szCs w:val="32"/>
        </w:rPr>
        <w:t>。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9月份教学管理处将会同各系</w:t>
      </w:r>
      <w:r>
        <w:rPr>
          <w:rFonts w:hint="eastAsia" w:ascii="仿宋" w:hAnsi="仿宋" w:eastAsia="仿宋"/>
          <w:iCs/>
          <w:sz w:val="32"/>
          <w:szCs w:val="32"/>
        </w:rPr>
        <w:t>组织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2022</w:t>
      </w:r>
      <w:r>
        <w:rPr>
          <w:rFonts w:ascii="仿宋" w:hAnsi="仿宋" w:eastAsia="仿宋"/>
          <w:iCs/>
          <w:sz w:val="32"/>
          <w:szCs w:val="32"/>
        </w:rPr>
        <w:t>级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职教高考班、3+3班、中专班</w:t>
      </w:r>
      <w:r>
        <w:rPr>
          <w:rFonts w:ascii="仿宋" w:hAnsi="仿宋" w:eastAsia="仿宋"/>
          <w:iCs/>
          <w:sz w:val="32"/>
          <w:szCs w:val="32"/>
        </w:rPr>
        <w:t>参加江苏省202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iCs/>
          <w:sz w:val="32"/>
          <w:szCs w:val="32"/>
        </w:rPr>
        <w:t>年中等职业学校学生学业水平考试，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/>
          <w:iCs/>
          <w:sz w:val="32"/>
          <w:szCs w:val="32"/>
        </w:rPr>
        <w:t>学校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将</w:t>
      </w:r>
      <w:r>
        <w:rPr>
          <w:rFonts w:hint="eastAsia" w:ascii="仿宋" w:hAnsi="仿宋" w:eastAsia="仿宋"/>
          <w:iCs/>
          <w:sz w:val="32"/>
          <w:szCs w:val="32"/>
        </w:rPr>
        <w:t>严格按照省学考办对于技能考试的组织要求，</w:t>
      </w:r>
      <w:r>
        <w:rPr>
          <w:rFonts w:ascii="仿宋" w:hAnsi="仿宋" w:eastAsia="仿宋"/>
          <w:iCs/>
          <w:sz w:val="32"/>
          <w:szCs w:val="32"/>
        </w:rPr>
        <w:t>完成了</w:t>
      </w:r>
      <w:r>
        <w:rPr>
          <w:rFonts w:hint="eastAsia" w:ascii="仿宋" w:hAnsi="仿宋" w:eastAsia="仿宋"/>
          <w:iCs/>
          <w:sz w:val="32"/>
          <w:szCs w:val="32"/>
        </w:rPr>
        <w:t>安保、微电子等专业学生</w:t>
      </w:r>
      <w:r>
        <w:rPr>
          <w:rFonts w:ascii="仿宋" w:hAnsi="仿宋" w:eastAsia="仿宋"/>
          <w:iCs/>
          <w:sz w:val="32"/>
          <w:szCs w:val="32"/>
        </w:rPr>
        <w:t>学考技能</w:t>
      </w:r>
      <w:r>
        <w:rPr>
          <w:rFonts w:hint="eastAsia" w:ascii="仿宋" w:hAnsi="仿宋" w:eastAsia="仿宋"/>
          <w:iCs/>
          <w:sz w:val="32"/>
          <w:szCs w:val="32"/>
        </w:rPr>
        <w:t>考核工作，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保证</w:t>
      </w:r>
      <w:r>
        <w:rPr>
          <w:rFonts w:ascii="仿宋" w:hAnsi="仿宋" w:eastAsia="仿宋"/>
          <w:iCs/>
          <w:sz w:val="32"/>
          <w:szCs w:val="32"/>
        </w:rPr>
        <w:t>各项工作</w:t>
      </w:r>
      <w:r>
        <w:rPr>
          <w:rFonts w:hint="eastAsia" w:ascii="仿宋" w:hAnsi="仿宋" w:eastAsia="仿宋"/>
          <w:iCs/>
          <w:sz w:val="32"/>
          <w:szCs w:val="32"/>
          <w:lang w:val="en-US" w:eastAsia="zh-CN"/>
        </w:rPr>
        <w:t>的</w:t>
      </w:r>
      <w:r>
        <w:rPr>
          <w:rFonts w:ascii="仿宋" w:hAnsi="仿宋" w:eastAsia="仿宋"/>
          <w:iCs/>
          <w:sz w:val="32"/>
          <w:szCs w:val="32"/>
        </w:rPr>
        <w:t>顺利</w:t>
      </w:r>
      <w:r>
        <w:rPr>
          <w:rFonts w:hint="eastAsia" w:ascii="仿宋" w:hAnsi="仿宋" w:eastAsia="仿宋"/>
          <w:iCs/>
          <w:sz w:val="32"/>
          <w:szCs w:val="32"/>
        </w:rPr>
        <w:t>完成</w:t>
      </w:r>
      <w:r>
        <w:rPr>
          <w:rFonts w:ascii="仿宋" w:hAnsi="仿宋" w:eastAsia="仿宋"/>
          <w:iCs/>
          <w:sz w:val="32"/>
          <w:szCs w:val="32"/>
        </w:rPr>
        <w:t>。</w:t>
      </w:r>
    </w:p>
    <w:p w14:paraId="202CB9C1">
      <w:pPr>
        <w:spacing w:line="570" w:lineRule="exact"/>
        <w:ind w:firstLine="643" w:firstLineChars="200"/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iCs/>
          <w:sz w:val="32"/>
          <w:szCs w:val="32"/>
          <w:lang w:val="en-US" w:eastAsia="zh-CN"/>
        </w:rPr>
        <w:t>16.做好上级教育主管部门和江苏联合职业技术学院安排的各项工作。</w:t>
      </w:r>
    </w:p>
    <w:p w14:paraId="4918B6FF">
      <w:pPr>
        <w:spacing w:line="570" w:lineRule="exact"/>
        <w:ind w:firstLine="640" w:firstLineChars="200"/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</w:pPr>
    </w:p>
    <w:p w14:paraId="7CC1CF3F">
      <w:pPr>
        <w:spacing w:line="570" w:lineRule="exact"/>
        <w:ind w:firstLine="640" w:firstLineChars="200"/>
        <w:rPr>
          <w:rFonts w:ascii="仿宋" w:hAnsi="仿宋" w:eastAsia="仿宋" w:cs="Times New Roman"/>
          <w:iCs/>
          <w:sz w:val="32"/>
          <w:szCs w:val="32"/>
        </w:rPr>
      </w:pP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总之，在2024-2025学年教学管理处将继续弘扬“敢为、敢闯、敢干、敢首创”的“四敢”精神，“强引领、聚焦用、改善教、造高峰、实保障”，不断查找教学管理中的问题和任务，主动服务学校高质量发展大局，纵深推进改革发展，</w:t>
      </w:r>
      <w:r>
        <w:rPr>
          <w:rFonts w:hint="eastAsia" w:ascii="仿宋" w:hAnsi="仿宋" w:eastAsia="仿宋" w:cs="Times New Roman"/>
          <w:iCs/>
          <w:sz w:val="32"/>
          <w:szCs w:val="32"/>
        </w:rPr>
        <w:t>以“课程建设”和“团队建设”为主要抓手，以教育教学为中心，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提升更高的</w:t>
      </w:r>
      <w:bookmarkStart w:id="0" w:name="_GoBack"/>
      <w:bookmarkEnd w:id="0"/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创造力、凝聚力、战斗力，守清廉、抓当前、谋长远，实现学校内涵建设、质量效益双提升，全面提高学校教育教学质量，</w:t>
      </w:r>
      <w:r>
        <w:rPr>
          <w:rFonts w:hint="eastAsia" w:ascii="仿宋" w:hAnsi="仿宋" w:eastAsia="仿宋" w:cs="Times New Roman"/>
          <w:iCs/>
          <w:sz w:val="32"/>
          <w:szCs w:val="32"/>
        </w:rPr>
        <w:t>推动学校事业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全面发展</w:t>
      </w:r>
      <w:r>
        <w:rPr>
          <w:rFonts w:hint="eastAsia" w:ascii="仿宋" w:hAnsi="仿宋" w:eastAsia="仿宋" w:cs="Times New Roman"/>
          <w:iCs/>
          <w:sz w:val="32"/>
          <w:szCs w:val="32"/>
        </w:rPr>
        <w:t>。</w:t>
      </w:r>
    </w:p>
    <w:p w14:paraId="55C3B61E">
      <w:pPr>
        <w:spacing w:line="570" w:lineRule="exact"/>
        <w:jc w:val="right"/>
        <w:rPr>
          <w:rFonts w:hint="default" w:ascii="仿宋" w:hAnsi="仿宋" w:eastAsia="仿宋" w:cs="Times New Roman"/>
          <w:i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教学管理处</w:t>
      </w:r>
    </w:p>
    <w:p w14:paraId="3F8CFD68">
      <w:pPr>
        <w:numPr>
          <w:ilvl w:val="0"/>
          <w:numId w:val="0"/>
        </w:numPr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仿宋" w:hAnsi="仿宋" w:eastAsia="仿宋" w:cs="Times New Roman"/>
          <w:iCs/>
          <w:sz w:val="32"/>
          <w:szCs w:val="32"/>
        </w:rPr>
        <w:t>202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4</w:t>
      </w:r>
      <w:r>
        <w:rPr>
          <w:rFonts w:ascii="仿宋" w:hAnsi="仿宋" w:eastAsia="仿宋" w:cs="Times New Roman"/>
          <w:iCs/>
          <w:sz w:val="32"/>
          <w:szCs w:val="32"/>
        </w:rPr>
        <w:t>年</w:t>
      </w:r>
      <w:r>
        <w:rPr>
          <w:rFonts w:hint="eastAsia" w:ascii="仿宋" w:hAnsi="仿宋" w:eastAsia="仿宋" w:cs="Times New Roman"/>
          <w:iCs/>
          <w:sz w:val="32"/>
          <w:szCs w:val="32"/>
          <w:lang w:val="en-US" w:eastAsia="zh-CN"/>
        </w:rPr>
        <w:t>6</w:t>
      </w:r>
      <w:r>
        <w:rPr>
          <w:rFonts w:ascii="仿宋" w:hAnsi="仿宋" w:eastAsia="仿宋" w:cs="Times New Roman"/>
          <w:iCs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62F35B8-EE03-4EED-B61C-2AB5667902BE}"/>
  </w:font>
  <w:font w:name="方正小标宋简体">
    <w:panose1 w:val="03000509000000000000"/>
    <w:charset w:val="86"/>
    <w:family w:val="auto"/>
    <w:pitch w:val="default"/>
    <w:sig w:usb0="00000283" w:usb1="180F0C10" w:usb2="00000012" w:usb3="00000000" w:csb0="00040001" w:csb1="00000000"/>
    <w:embedRegular r:id="rId2" w:fontKey="{35E5660C-C605-475A-8618-BA09207935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TI3ZjJmOGQ3Zjg4MmQ0ZTFiODYzMDNhM2YxM2IifQ=="/>
  </w:docVars>
  <w:rsids>
    <w:rsidRoot w:val="6D524EC3"/>
    <w:rsid w:val="039217F3"/>
    <w:rsid w:val="094733AA"/>
    <w:rsid w:val="1E7C0862"/>
    <w:rsid w:val="29E928DF"/>
    <w:rsid w:val="311A5319"/>
    <w:rsid w:val="32031EBD"/>
    <w:rsid w:val="389E359A"/>
    <w:rsid w:val="3A364B98"/>
    <w:rsid w:val="41813E70"/>
    <w:rsid w:val="48074AFC"/>
    <w:rsid w:val="4A2E566C"/>
    <w:rsid w:val="4CE94E0D"/>
    <w:rsid w:val="4E7C3473"/>
    <w:rsid w:val="54EF499E"/>
    <w:rsid w:val="5AAB3B2D"/>
    <w:rsid w:val="661C580F"/>
    <w:rsid w:val="6D524EC3"/>
    <w:rsid w:val="74722C9A"/>
    <w:rsid w:val="783B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2986</Words>
  <Characters>3052</Characters>
  <Lines>0</Lines>
  <Paragraphs>0</Paragraphs>
  <TotalTime>12</TotalTime>
  <ScaleCrop>false</ScaleCrop>
  <LinksUpToDate>false</LinksUpToDate>
  <CharactersWithSpaces>3052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2023-12-08T02:21:00Z</dcterms:created>
  <dc:creator>wusysz</dc:creator>
  <cp:lastModifiedBy>周祥</cp:lastModifiedBy>
  <cp:lastPrinted>2023-12-15T06:56:00Z</cp:lastPrinted>
  <dcterms:modified xsi:type="dcterms:W3CDTF">2024-09-10T05:01:39Z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B4FF555AF4044C058E15F1450838A842_13</vt:lpwstr>
  </property>
</Properties>
</file>