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DCE" w:rsidRDefault="008A6DCE" w:rsidP="00EE118A">
      <w:pPr>
        <w:spacing w:before="0" w:after="0" w:line="600" w:lineRule="exact"/>
        <w:jc w:val="left"/>
        <w:rPr>
          <w:rFonts w:ascii="黑体" w:eastAsia="黑体" w:hAnsi="黑体"/>
          <w:color w:val="000000"/>
          <w:sz w:val="32"/>
          <w:szCs w:val="32"/>
          <w:lang w:eastAsia="zh-CN"/>
        </w:rPr>
      </w:pPr>
      <w:r w:rsidRPr="00780CB1">
        <w:rPr>
          <w:rFonts w:ascii="黑体" w:eastAsia="黑体" w:hAnsi="黑体" w:cs="黑体" w:hint="eastAsia"/>
          <w:color w:val="000000"/>
          <w:sz w:val="32"/>
          <w:szCs w:val="32"/>
          <w:lang w:eastAsia="zh-CN"/>
        </w:rPr>
        <w:t>附件</w:t>
      </w:r>
      <w:r w:rsidRPr="00780CB1">
        <w:rPr>
          <w:rFonts w:ascii="黑体" w:eastAsia="黑体" w:hAnsi="黑体" w:cs="黑体"/>
          <w:color w:val="000000"/>
          <w:sz w:val="32"/>
          <w:szCs w:val="32"/>
          <w:lang w:eastAsia="zh-CN"/>
        </w:rPr>
        <w:t>5</w:t>
      </w:r>
      <w:r w:rsidRPr="00780CB1">
        <w:rPr>
          <w:rFonts w:ascii="黑体" w:eastAsia="黑体" w:hAnsi="黑体" w:cs="黑体" w:hint="eastAsia"/>
          <w:color w:val="000000"/>
          <w:sz w:val="32"/>
          <w:szCs w:val="32"/>
          <w:lang w:eastAsia="zh-CN"/>
        </w:rPr>
        <w:t>：</w:t>
      </w:r>
    </w:p>
    <w:p w:rsidR="008A6DCE" w:rsidRDefault="008A6DCE" w:rsidP="00780CB1">
      <w:pPr>
        <w:spacing w:before="0" w:after="0" w:line="600" w:lineRule="exact"/>
        <w:jc w:val="center"/>
        <w:rPr>
          <w:rFonts w:ascii="方正小标宋简体" w:eastAsia="方正小标宋简体" w:hAnsi="仿宋"/>
          <w:color w:val="000000"/>
          <w:sz w:val="44"/>
          <w:szCs w:val="44"/>
          <w:lang w:eastAsia="zh-CN"/>
        </w:rPr>
      </w:pPr>
    </w:p>
    <w:p w:rsidR="008A6DCE" w:rsidRDefault="008A6DCE" w:rsidP="00780CB1">
      <w:pPr>
        <w:spacing w:before="0" w:after="0" w:line="600" w:lineRule="exact"/>
        <w:jc w:val="center"/>
        <w:rPr>
          <w:rFonts w:ascii="方正小标宋简体" w:eastAsia="方正小标宋简体"/>
          <w:color w:val="000000"/>
          <w:sz w:val="44"/>
          <w:szCs w:val="44"/>
          <w:lang w:eastAsia="zh-CN"/>
        </w:rPr>
      </w:pPr>
      <w:r w:rsidRPr="00780CB1">
        <w:rPr>
          <w:rFonts w:ascii="方正小标宋简体" w:eastAsia="方正小标宋简体" w:hAnsi="仿宋" w:cs="方正小标宋简体" w:hint="eastAsia"/>
          <w:color w:val="000000"/>
          <w:sz w:val="44"/>
          <w:szCs w:val="44"/>
          <w:lang w:eastAsia="zh-CN"/>
        </w:rPr>
        <w:t>省教育科学“十四五”规划</w:t>
      </w:r>
      <w:r w:rsidRPr="00780CB1">
        <w:rPr>
          <w:rFonts w:ascii="方正小标宋简体" w:eastAsia="方正小标宋简体" w:hAnsi="仿宋" w:cs="方正小标宋简体"/>
          <w:color w:val="000000"/>
          <w:sz w:val="44"/>
          <w:szCs w:val="44"/>
          <w:lang w:eastAsia="zh-CN"/>
        </w:rPr>
        <w:t>2</w:t>
      </w:r>
      <w:r w:rsidRPr="00780CB1">
        <w:rPr>
          <w:rFonts w:ascii="方正小标宋简体" w:eastAsia="方正小标宋简体" w:cs="方正小标宋简体"/>
          <w:color w:val="000000"/>
          <w:sz w:val="44"/>
          <w:szCs w:val="44"/>
          <w:lang w:eastAsia="zh-CN"/>
        </w:rPr>
        <w:t>021</w:t>
      </w:r>
      <w:r w:rsidRPr="00780CB1">
        <w:rPr>
          <w:rFonts w:ascii="方正小标宋简体" w:eastAsia="方正小标宋简体" w:cs="方正小标宋简体" w:hint="eastAsia"/>
          <w:color w:val="000000"/>
          <w:sz w:val="44"/>
          <w:szCs w:val="44"/>
          <w:lang w:eastAsia="zh-CN"/>
        </w:rPr>
        <w:t>年度</w:t>
      </w:r>
    </w:p>
    <w:p w:rsidR="008A6DCE" w:rsidRPr="00780CB1" w:rsidRDefault="008A6DCE" w:rsidP="00780CB1">
      <w:pPr>
        <w:spacing w:before="0" w:after="0" w:line="600" w:lineRule="exact"/>
        <w:jc w:val="center"/>
        <w:rPr>
          <w:rFonts w:ascii="方正小标宋简体" w:eastAsia="方正小标宋简体"/>
          <w:color w:val="000000"/>
          <w:sz w:val="44"/>
          <w:szCs w:val="44"/>
          <w:lang w:eastAsia="zh-CN"/>
        </w:rPr>
      </w:pPr>
      <w:r w:rsidRPr="00780CB1">
        <w:rPr>
          <w:rFonts w:ascii="方正小标宋简体" w:eastAsia="方正小标宋简体" w:cs="方正小标宋简体" w:hint="eastAsia"/>
          <w:color w:val="000000"/>
          <w:sz w:val="44"/>
          <w:szCs w:val="44"/>
          <w:lang w:eastAsia="zh-CN"/>
        </w:rPr>
        <w:t>“中小学教师发展研究专项”课题申报指南</w:t>
      </w:r>
    </w:p>
    <w:p w:rsidR="008A6DCE" w:rsidRPr="00780CB1" w:rsidRDefault="008A6DCE" w:rsidP="00780CB1">
      <w:pPr>
        <w:spacing w:before="0" w:after="0" w:line="580" w:lineRule="exact"/>
        <w:ind w:firstLineChars="200" w:firstLine="620"/>
        <w:rPr>
          <w:rFonts w:ascii="仿宋_GB2312" w:eastAsia="仿宋_GB2312" w:hAnsi="仿宋"/>
          <w:spacing w:val="-5"/>
          <w:sz w:val="32"/>
          <w:szCs w:val="32"/>
          <w:lang w:eastAsia="zh-CN"/>
        </w:rPr>
      </w:pPr>
    </w:p>
    <w:p w:rsidR="008A6DCE" w:rsidRPr="00780CB1" w:rsidRDefault="008A6DCE" w:rsidP="00780CB1">
      <w:pPr>
        <w:spacing w:before="0" w:after="0" w:line="580" w:lineRule="exact"/>
        <w:ind w:firstLineChars="200" w:firstLine="620"/>
        <w:rPr>
          <w:rFonts w:ascii="仿宋_GB2312" w:eastAsia="仿宋_GB2312" w:hAnsi="仿宋"/>
          <w:color w:val="000000"/>
          <w:sz w:val="32"/>
          <w:szCs w:val="32"/>
          <w:lang w:eastAsia="zh-CN"/>
        </w:rPr>
      </w:pPr>
      <w:r w:rsidRPr="00780CB1">
        <w:rPr>
          <w:rFonts w:ascii="仿宋_GB2312" w:eastAsia="仿宋_GB2312" w:hAnsi="仿宋" w:cs="仿宋_GB2312" w:hint="eastAsia"/>
          <w:spacing w:val="-5"/>
          <w:sz w:val="32"/>
          <w:szCs w:val="32"/>
          <w:lang w:eastAsia="zh-CN"/>
        </w:rPr>
        <w:t>根据江苏省教育科学规划领导小组</w:t>
      </w:r>
      <w:r w:rsidRPr="00780CB1">
        <w:rPr>
          <w:rFonts w:ascii="仿宋_GB2312" w:eastAsia="仿宋_GB2312" w:hAnsi="仿宋" w:cs="仿宋_GB2312" w:hint="eastAsia"/>
          <w:spacing w:val="-5"/>
          <w:sz w:val="32"/>
          <w:szCs w:val="32"/>
          <w:lang w:val="en-US" w:eastAsia="zh-CN"/>
        </w:rPr>
        <w:t>办公室（下称“省规划办”）</w:t>
      </w:r>
      <w:r w:rsidRPr="00780CB1">
        <w:rPr>
          <w:rFonts w:ascii="仿宋_GB2312" w:eastAsia="仿宋_GB2312" w:hAnsi="仿宋" w:cs="仿宋_GB2312" w:hint="eastAsia"/>
          <w:spacing w:val="-5"/>
          <w:sz w:val="32"/>
          <w:szCs w:val="32"/>
          <w:lang w:eastAsia="zh-CN"/>
        </w:rPr>
        <w:t>《关于组织申报</w:t>
      </w:r>
      <w:r w:rsidRPr="00780CB1">
        <w:rPr>
          <w:rFonts w:ascii="仿宋_GB2312" w:eastAsia="仿宋_GB2312" w:hAnsi="仿宋" w:cs="仿宋_GB2312" w:hint="eastAsia"/>
          <w:spacing w:val="-8"/>
          <w:sz w:val="32"/>
          <w:szCs w:val="32"/>
          <w:lang w:val="en-US" w:eastAsia="zh-CN"/>
        </w:rPr>
        <w:t>江苏</w:t>
      </w:r>
      <w:r w:rsidRPr="00780CB1">
        <w:rPr>
          <w:rFonts w:ascii="仿宋_GB2312" w:eastAsia="仿宋_GB2312" w:hAnsi="仿宋" w:cs="仿宋_GB2312" w:hint="eastAsia"/>
          <w:spacing w:val="-8"/>
          <w:sz w:val="32"/>
          <w:szCs w:val="32"/>
          <w:lang w:eastAsia="zh-CN"/>
        </w:rPr>
        <w:t>省教育科学“十四五”</w:t>
      </w:r>
      <w:r w:rsidRPr="00780CB1">
        <w:rPr>
          <w:rFonts w:ascii="仿宋_GB2312" w:eastAsia="仿宋_GB2312" w:hAnsi="仿宋" w:cs="仿宋_GB2312" w:hint="eastAsia"/>
          <w:sz w:val="32"/>
          <w:szCs w:val="32"/>
          <w:lang w:eastAsia="zh-CN"/>
        </w:rPr>
        <w:t>规划</w:t>
      </w:r>
      <w:r w:rsidRPr="00780CB1">
        <w:rPr>
          <w:rFonts w:ascii="仿宋_GB2312" w:eastAsia="仿宋_GB2312" w:hAnsi="仿宋" w:cs="仿宋_GB2312"/>
          <w:spacing w:val="19"/>
          <w:sz w:val="32"/>
          <w:szCs w:val="32"/>
          <w:lang w:eastAsia="zh-CN"/>
        </w:rPr>
        <w:t>202</w:t>
      </w:r>
      <w:r w:rsidRPr="00780CB1">
        <w:rPr>
          <w:rFonts w:ascii="仿宋_GB2312" w:eastAsia="仿宋_GB2312" w:cs="仿宋_GB2312"/>
          <w:spacing w:val="19"/>
          <w:sz w:val="32"/>
          <w:szCs w:val="32"/>
          <w:lang w:eastAsia="zh-CN"/>
        </w:rPr>
        <w:t>1</w:t>
      </w:r>
      <w:r w:rsidRPr="00780CB1">
        <w:rPr>
          <w:rFonts w:ascii="仿宋_GB2312" w:eastAsia="仿宋_GB2312" w:hAnsi="仿宋" w:cs="仿宋_GB2312" w:hint="eastAsia"/>
          <w:sz w:val="32"/>
          <w:szCs w:val="32"/>
          <w:lang w:eastAsia="zh-CN"/>
        </w:rPr>
        <w:t>年度课题的通知</w:t>
      </w:r>
      <w:r w:rsidRPr="00780CB1">
        <w:rPr>
          <w:rFonts w:ascii="仿宋_GB2312" w:eastAsia="仿宋_GB2312" w:hAnsi="仿宋" w:cs="仿宋_GB2312" w:hint="eastAsia"/>
          <w:spacing w:val="-5"/>
          <w:sz w:val="32"/>
          <w:szCs w:val="32"/>
          <w:lang w:eastAsia="zh-CN"/>
        </w:rPr>
        <w:t>》，</w:t>
      </w:r>
      <w:r w:rsidRPr="00780CB1">
        <w:rPr>
          <w:rFonts w:ascii="仿宋_GB2312" w:eastAsia="仿宋_GB2312" w:hAnsi="仿宋" w:cs="仿宋_GB2312" w:hint="eastAsia"/>
          <w:spacing w:val="-8"/>
          <w:sz w:val="32"/>
          <w:szCs w:val="32"/>
          <w:lang w:eastAsia="zh-CN"/>
        </w:rPr>
        <w:t>在</w:t>
      </w:r>
      <w:bookmarkStart w:id="0" w:name="_Hlk13497440"/>
      <w:r w:rsidRPr="00780CB1">
        <w:rPr>
          <w:rFonts w:ascii="仿宋_GB2312" w:eastAsia="仿宋_GB2312" w:hAnsi="仿宋" w:cs="仿宋_GB2312" w:hint="eastAsia"/>
          <w:spacing w:val="-8"/>
          <w:sz w:val="32"/>
          <w:szCs w:val="32"/>
          <w:lang w:eastAsia="zh-CN"/>
        </w:rPr>
        <w:t>省教育科学</w:t>
      </w:r>
      <w:r w:rsidRPr="00780CB1">
        <w:rPr>
          <w:rFonts w:ascii="仿宋_GB2312" w:eastAsia="仿宋_GB2312" w:hAnsi="仿宋" w:cs="仿宋_GB2312" w:hint="eastAsia"/>
          <w:color w:val="000000"/>
          <w:spacing w:val="-8"/>
          <w:sz w:val="32"/>
          <w:szCs w:val="32"/>
          <w:lang w:eastAsia="zh-CN"/>
        </w:rPr>
        <w:t>“十四五”</w:t>
      </w:r>
      <w:r w:rsidRPr="00780CB1">
        <w:rPr>
          <w:rFonts w:ascii="仿宋_GB2312" w:eastAsia="仿宋_GB2312" w:hAnsi="仿宋" w:cs="仿宋_GB2312" w:hint="eastAsia"/>
          <w:color w:val="000000"/>
          <w:sz w:val="32"/>
          <w:szCs w:val="32"/>
          <w:lang w:eastAsia="zh-CN"/>
        </w:rPr>
        <w:t>规划</w:t>
      </w:r>
      <w:r w:rsidRPr="00780CB1">
        <w:rPr>
          <w:rFonts w:ascii="仿宋_GB2312" w:eastAsia="仿宋_GB2312" w:hAnsi="仿宋" w:cs="仿宋_GB2312"/>
          <w:color w:val="000000"/>
          <w:spacing w:val="19"/>
          <w:sz w:val="32"/>
          <w:szCs w:val="32"/>
          <w:lang w:eastAsia="zh-CN"/>
        </w:rPr>
        <w:t>202</w:t>
      </w:r>
      <w:r w:rsidRPr="00780CB1">
        <w:rPr>
          <w:rFonts w:ascii="仿宋_GB2312" w:eastAsia="仿宋_GB2312" w:cs="仿宋_GB2312"/>
          <w:color w:val="000000"/>
          <w:spacing w:val="19"/>
          <w:sz w:val="32"/>
          <w:szCs w:val="32"/>
          <w:lang w:eastAsia="zh-CN"/>
        </w:rPr>
        <w:t>1</w:t>
      </w:r>
      <w:r w:rsidRPr="00780CB1">
        <w:rPr>
          <w:rFonts w:ascii="仿宋_GB2312" w:eastAsia="仿宋_GB2312" w:hAnsi="仿宋" w:cs="仿宋_GB2312" w:hint="eastAsia"/>
          <w:color w:val="000000"/>
          <w:sz w:val="32"/>
          <w:szCs w:val="32"/>
          <w:lang w:eastAsia="zh-CN"/>
        </w:rPr>
        <w:t>年度课题</w:t>
      </w:r>
      <w:bookmarkEnd w:id="0"/>
      <w:r w:rsidRPr="00780CB1">
        <w:rPr>
          <w:rFonts w:ascii="仿宋_GB2312" w:eastAsia="仿宋_GB2312" w:hAnsi="仿宋" w:cs="仿宋_GB2312" w:hint="eastAsia"/>
          <w:color w:val="000000"/>
          <w:sz w:val="32"/>
          <w:szCs w:val="32"/>
          <w:lang w:eastAsia="zh-CN"/>
        </w:rPr>
        <w:t>中继续设立“</w:t>
      </w:r>
      <w:r w:rsidRPr="00780CB1">
        <w:rPr>
          <w:rFonts w:ascii="仿宋_GB2312" w:eastAsia="仿宋_GB2312" w:hAnsi="仿宋" w:cs="仿宋_GB2312" w:hint="eastAsia"/>
          <w:color w:val="000000"/>
          <w:sz w:val="32"/>
          <w:szCs w:val="32"/>
          <w:lang w:val="en-US" w:eastAsia="zh-CN"/>
        </w:rPr>
        <w:t>中小学</w:t>
      </w:r>
      <w:r w:rsidRPr="00780CB1">
        <w:rPr>
          <w:rFonts w:ascii="仿宋_GB2312" w:eastAsia="仿宋_GB2312" w:hAnsi="仿宋" w:cs="仿宋_GB2312" w:hint="eastAsia"/>
          <w:color w:val="000000"/>
          <w:sz w:val="32"/>
          <w:szCs w:val="32"/>
          <w:lang w:eastAsia="zh-CN"/>
        </w:rPr>
        <w:t>教师发展研究专项”（下称“教师发展专项”）课题。</w:t>
      </w:r>
      <w:bookmarkStart w:id="1" w:name="_Hlk77056137"/>
      <w:r w:rsidRPr="00780CB1">
        <w:rPr>
          <w:rFonts w:ascii="仿宋_GB2312" w:eastAsia="仿宋_GB2312" w:hAnsi="仿宋" w:cs="仿宋_GB2312" w:hint="eastAsia"/>
          <w:color w:val="000000"/>
          <w:sz w:val="32"/>
          <w:szCs w:val="32"/>
          <w:lang w:eastAsia="zh-CN"/>
        </w:rPr>
        <w:t>该</w:t>
      </w:r>
      <w:r w:rsidRPr="00780CB1">
        <w:rPr>
          <w:rFonts w:ascii="仿宋_GB2312" w:eastAsia="仿宋_GB2312" w:hAnsi="仿宋" w:cs="仿宋_GB2312" w:hint="eastAsia"/>
          <w:color w:val="000000"/>
          <w:spacing w:val="-3"/>
          <w:sz w:val="32"/>
          <w:szCs w:val="32"/>
          <w:lang w:eastAsia="zh-CN"/>
        </w:rPr>
        <w:t>专项课题由江苏省教育科学规划领导小组办公室委托江苏第二师范学院、江苏省教育科学研究院教师发</w:t>
      </w:r>
      <w:r w:rsidRPr="00780CB1">
        <w:rPr>
          <w:rFonts w:ascii="仿宋_GB2312" w:eastAsia="仿宋_GB2312" w:hAnsi="仿宋" w:cs="仿宋_GB2312" w:hint="eastAsia"/>
          <w:color w:val="000000"/>
          <w:sz w:val="32"/>
          <w:szCs w:val="32"/>
          <w:lang w:eastAsia="zh-CN"/>
        </w:rPr>
        <w:t>展研究所（下称省教师发展研究所）。</w:t>
      </w:r>
    </w:p>
    <w:bookmarkEnd w:id="1"/>
    <w:p w:rsidR="008A6DCE" w:rsidRPr="00780CB1" w:rsidRDefault="008A6DCE" w:rsidP="00780CB1">
      <w:pPr>
        <w:spacing w:before="0" w:after="0" w:line="580" w:lineRule="exact"/>
        <w:ind w:firstLineChars="200" w:firstLine="640"/>
        <w:rPr>
          <w:rFonts w:ascii="黑体" w:eastAsia="黑体" w:hAnsi="黑体"/>
          <w:color w:val="000000"/>
          <w:sz w:val="32"/>
          <w:szCs w:val="32"/>
          <w:lang w:eastAsia="zh-CN"/>
        </w:rPr>
      </w:pPr>
      <w:r w:rsidRPr="00780CB1">
        <w:rPr>
          <w:rFonts w:ascii="黑体" w:eastAsia="黑体" w:hAnsi="黑体" w:cs="黑体" w:hint="eastAsia"/>
          <w:color w:val="000000"/>
          <w:sz w:val="32"/>
          <w:szCs w:val="32"/>
          <w:lang w:eastAsia="zh-CN"/>
        </w:rPr>
        <w:t>一、申报对象</w:t>
      </w:r>
    </w:p>
    <w:p w:rsidR="008A6DCE" w:rsidRPr="00780CB1" w:rsidRDefault="008A6DCE" w:rsidP="00780CB1">
      <w:pPr>
        <w:spacing w:before="0" w:after="0" w:line="580" w:lineRule="exact"/>
        <w:ind w:firstLineChars="200" w:firstLine="608"/>
        <w:rPr>
          <w:rFonts w:ascii="仿宋_GB2312" w:eastAsia="仿宋_GB2312" w:hAnsi="仿宋"/>
          <w:color w:val="000000"/>
          <w:spacing w:val="-4"/>
          <w:sz w:val="32"/>
          <w:szCs w:val="32"/>
          <w:lang w:eastAsia="zh-CN"/>
        </w:rPr>
      </w:pPr>
      <w:r w:rsidRPr="00780CB1">
        <w:rPr>
          <w:rFonts w:ascii="仿宋_GB2312" w:eastAsia="仿宋_GB2312" w:hAnsi="仿宋" w:cs="仿宋_GB2312" w:hint="eastAsia"/>
          <w:color w:val="000000"/>
          <w:spacing w:val="-8"/>
          <w:sz w:val="32"/>
          <w:szCs w:val="32"/>
          <w:lang w:eastAsia="zh-CN"/>
        </w:rPr>
        <w:t>教师发展专项课题申报对象为设区市（下称大市）教师发展机构、县级教师发展中心</w:t>
      </w:r>
      <w:r w:rsidRPr="00780CB1">
        <w:rPr>
          <w:rFonts w:ascii="仿宋_GB2312" w:eastAsia="仿宋_GB2312" w:hAnsi="仿宋" w:cs="仿宋_GB2312" w:hint="eastAsia"/>
          <w:spacing w:val="-8"/>
          <w:sz w:val="32"/>
          <w:szCs w:val="32"/>
          <w:lang w:eastAsia="zh-CN"/>
        </w:rPr>
        <w:t>、省教师发展研究基地校</w:t>
      </w:r>
      <w:r w:rsidRPr="00780CB1">
        <w:rPr>
          <w:rFonts w:ascii="仿宋_GB2312" w:eastAsia="仿宋_GB2312" w:hAnsi="仿宋" w:cs="仿宋_GB2312" w:hint="eastAsia"/>
          <w:sz w:val="32"/>
          <w:szCs w:val="32"/>
          <w:lang w:eastAsia="zh-CN"/>
        </w:rPr>
        <w:t>。符合</w:t>
      </w:r>
      <w:r w:rsidRPr="00780CB1">
        <w:rPr>
          <w:rFonts w:ascii="仿宋_GB2312" w:eastAsia="仿宋_GB2312" w:hAnsi="仿宋" w:cs="仿宋_GB2312" w:hint="eastAsia"/>
          <w:color w:val="000000"/>
          <w:sz w:val="32"/>
          <w:szCs w:val="32"/>
          <w:lang w:eastAsia="zh-CN"/>
        </w:rPr>
        <w:t>申报条件的“省教育家型教师（含校长）</w:t>
      </w:r>
      <w:r w:rsidRPr="00780CB1">
        <w:rPr>
          <w:rFonts w:ascii="仿宋_GB2312" w:eastAsia="仿宋_GB2312" w:cs="仿宋_GB2312" w:hint="eastAsia"/>
          <w:color w:val="000000"/>
          <w:sz w:val="32"/>
          <w:szCs w:val="32"/>
          <w:lang w:eastAsia="zh-CN"/>
        </w:rPr>
        <w:t>创新培育计划</w:t>
      </w:r>
      <w:r w:rsidRPr="00780CB1">
        <w:rPr>
          <w:rFonts w:ascii="仿宋_GB2312" w:eastAsia="仿宋_GB2312" w:hAnsi="仿宋" w:cs="仿宋_GB2312" w:hint="eastAsia"/>
          <w:color w:val="000000"/>
          <w:sz w:val="32"/>
          <w:szCs w:val="32"/>
          <w:lang w:eastAsia="zh-CN"/>
        </w:rPr>
        <w:t>”“省卓越教师（含校长）创新培育计划”的培养对象亦可申报</w:t>
      </w:r>
    </w:p>
    <w:p w:rsidR="008A6DCE" w:rsidRPr="00780CB1" w:rsidRDefault="008A6DCE" w:rsidP="00780CB1">
      <w:pPr>
        <w:spacing w:before="0" w:after="0" w:line="580" w:lineRule="exact"/>
        <w:ind w:firstLineChars="200" w:firstLine="640"/>
        <w:rPr>
          <w:rFonts w:ascii="黑体" w:eastAsia="黑体" w:hAnsi="黑体"/>
          <w:color w:val="000000"/>
          <w:sz w:val="32"/>
          <w:szCs w:val="32"/>
          <w:lang w:eastAsia="zh-CN"/>
        </w:rPr>
      </w:pPr>
      <w:r w:rsidRPr="00780CB1">
        <w:rPr>
          <w:rFonts w:ascii="黑体" w:eastAsia="黑体" w:hAnsi="黑体" w:cs="黑体" w:hint="eastAsia"/>
          <w:color w:val="000000"/>
          <w:sz w:val="32"/>
          <w:szCs w:val="32"/>
          <w:lang w:eastAsia="zh-CN"/>
        </w:rPr>
        <w:t>二、课题类别</w:t>
      </w:r>
    </w:p>
    <w:p w:rsidR="008A6DCE" w:rsidRPr="00780CB1" w:rsidRDefault="008A6DCE" w:rsidP="00780CB1">
      <w:pPr>
        <w:spacing w:before="0" w:after="0" w:line="580" w:lineRule="exact"/>
        <w:ind w:firstLineChars="200" w:firstLine="624"/>
        <w:rPr>
          <w:rFonts w:ascii="仿宋_GB2312" w:eastAsia="仿宋_GB2312" w:hAnsi="仿宋"/>
          <w:color w:val="000000"/>
          <w:spacing w:val="-1"/>
          <w:sz w:val="32"/>
          <w:szCs w:val="32"/>
          <w:lang w:eastAsia="zh-CN"/>
        </w:rPr>
      </w:pPr>
      <w:r w:rsidRPr="00780CB1">
        <w:rPr>
          <w:rFonts w:ascii="仿宋_GB2312" w:eastAsia="仿宋_GB2312" w:hAnsi="仿宋" w:cs="仿宋_GB2312" w:hint="eastAsia"/>
          <w:color w:val="000000"/>
          <w:spacing w:val="-4"/>
          <w:sz w:val="32"/>
          <w:szCs w:val="32"/>
          <w:lang w:eastAsia="zh-CN"/>
        </w:rPr>
        <w:t>教师发展专项课题级别为省教育科学规划课题，分为重点课题和</w:t>
      </w:r>
      <w:r w:rsidRPr="00780CB1">
        <w:rPr>
          <w:rFonts w:ascii="仿宋_GB2312" w:eastAsia="仿宋_GB2312" w:hAnsi="仿宋" w:cs="仿宋_GB2312" w:hint="eastAsia"/>
          <w:color w:val="000000"/>
          <w:spacing w:val="-1"/>
          <w:sz w:val="32"/>
          <w:szCs w:val="32"/>
          <w:lang w:eastAsia="zh-CN"/>
        </w:rPr>
        <w:t>一般课题。该专项</w:t>
      </w:r>
      <w:r w:rsidRPr="00780CB1">
        <w:rPr>
          <w:rFonts w:ascii="仿宋_GB2312" w:eastAsia="仿宋_GB2312" w:hAnsi="仿宋" w:cs="仿宋_GB2312"/>
          <w:color w:val="000000"/>
          <w:spacing w:val="-1"/>
          <w:sz w:val="32"/>
          <w:szCs w:val="32"/>
          <w:lang w:eastAsia="zh-CN"/>
        </w:rPr>
        <w:t>2</w:t>
      </w:r>
      <w:r w:rsidRPr="00780CB1">
        <w:rPr>
          <w:rFonts w:ascii="仿宋_GB2312" w:eastAsia="仿宋_GB2312" w:cs="仿宋_GB2312"/>
          <w:color w:val="000000"/>
          <w:spacing w:val="-1"/>
          <w:sz w:val="32"/>
          <w:szCs w:val="32"/>
          <w:lang w:eastAsia="zh-CN"/>
        </w:rPr>
        <w:t>021</w:t>
      </w:r>
      <w:r w:rsidRPr="00780CB1">
        <w:rPr>
          <w:rFonts w:ascii="仿宋_GB2312" w:eastAsia="仿宋_GB2312" w:cs="仿宋_GB2312" w:hint="eastAsia"/>
          <w:color w:val="000000"/>
          <w:spacing w:val="-1"/>
          <w:sz w:val="32"/>
          <w:szCs w:val="32"/>
          <w:lang w:eastAsia="zh-CN"/>
        </w:rPr>
        <w:t>年度设立</w:t>
      </w:r>
      <w:r w:rsidRPr="00780CB1">
        <w:rPr>
          <w:rFonts w:ascii="仿宋_GB2312" w:eastAsia="仿宋_GB2312" w:hAnsi="仿宋" w:cs="仿宋_GB2312" w:hint="eastAsia"/>
          <w:color w:val="000000"/>
          <w:spacing w:val="-1"/>
          <w:sz w:val="32"/>
          <w:szCs w:val="32"/>
          <w:lang w:eastAsia="zh-CN"/>
        </w:rPr>
        <w:t>教师发展机构建设研究、教师教育协同创新机制研究、教师发展支持体系建设研究、研训一体化创新研究、和新时代教育家型教师（含校长）培养研究等五个研究方向。</w:t>
      </w:r>
    </w:p>
    <w:p w:rsidR="008A6DCE" w:rsidRPr="00780CB1" w:rsidRDefault="008A6DCE" w:rsidP="00780CB1">
      <w:pPr>
        <w:spacing w:before="0" w:after="0" w:line="580" w:lineRule="exact"/>
        <w:ind w:firstLineChars="200" w:firstLine="640"/>
        <w:rPr>
          <w:rFonts w:ascii="黑体" w:eastAsia="黑体" w:hAnsi="黑体"/>
          <w:color w:val="000000"/>
          <w:sz w:val="32"/>
          <w:szCs w:val="32"/>
          <w:lang w:eastAsia="zh-CN"/>
        </w:rPr>
      </w:pPr>
      <w:r w:rsidRPr="00780CB1">
        <w:rPr>
          <w:rFonts w:ascii="黑体" w:eastAsia="黑体" w:hAnsi="黑体" w:cs="黑体" w:hint="eastAsia"/>
          <w:color w:val="000000"/>
          <w:sz w:val="32"/>
          <w:szCs w:val="32"/>
          <w:lang w:eastAsia="zh-CN"/>
        </w:rPr>
        <w:t>三、申报要求</w:t>
      </w:r>
    </w:p>
    <w:p w:rsidR="008A6DCE" w:rsidRDefault="008A6DCE" w:rsidP="00780CB1">
      <w:pPr>
        <w:spacing w:before="0" w:after="0" w:line="580" w:lineRule="exact"/>
        <w:ind w:firstLineChars="200" w:firstLine="640"/>
        <w:rPr>
          <w:rFonts w:ascii="仿宋_GB2312" w:eastAsia="仿宋_GB2312" w:hAnsi="仿宋"/>
          <w:sz w:val="32"/>
          <w:szCs w:val="32"/>
          <w:lang w:eastAsia="zh-CN"/>
        </w:rPr>
      </w:pPr>
      <w:r w:rsidRPr="00780CB1">
        <w:rPr>
          <w:rFonts w:ascii="仿宋_GB2312" w:eastAsia="仿宋_GB2312" w:hAnsi="仿宋" w:cs="仿宋_GB2312"/>
          <w:sz w:val="32"/>
          <w:szCs w:val="32"/>
          <w:lang w:eastAsia="zh-CN"/>
        </w:rPr>
        <w:t>1</w:t>
      </w:r>
      <w:r w:rsidRPr="00780CB1">
        <w:rPr>
          <w:rFonts w:ascii="仿宋_GB2312" w:eastAsia="仿宋_GB2312" w:cs="仿宋_GB2312"/>
          <w:sz w:val="32"/>
          <w:szCs w:val="32"/>
          <w:lang w:eastAsia="zh-CN"/>
        </w:rPr>
        <w:t>.</w:t>
      </w:r>
      <w:r w:rsidRPr="00780CB1">
        <w:rPr>
          <w:rFonts w:ascii="仿宋_GB2312" w:eastAsia="仿宋_GB2312" w:hAnsi="仿宋" w:cs="仿宋_GB2312" w:hint="eastAsia"/>
          <w:sz w:val="32"/>
          <w:szCs w:val="32"/>
          <w:lang w:eastAsia="zh-CN"/>
        </w:rPr>
        <w:t>省教师发展研究所按照省规划办的要求，根据各大市范围内符合条件的申报对象数量，按一定比例划定各大市申报数额（见下表）；各师范生培养院校每校申报最多</w:t>
      </w:r>
      <w:r w:rsidRPr="00780CB1">
        <w:rPr>
          <w:rFonts w:ascii="仿宋_GB2312" w:eastAsia="仿宋_GB2312" w:hAnsi="仿宋" w:cs="仿宋_GB2312"/>
          <w:sz w:val="32"/>
          <w:szCs w:val="32"/>
          <w:lang w:eastAsia="zh-CN"/>
        </w:rPr>
        <w:t>1</w:t>
      </w:r>
      <w:r w:rsidRPr="00780CB1">
        <w:rPr>
          <w:rFonts w:ascii="仿宋_GB2312" w:eastAsia="仿宋_GB2312" w:hAnsi="仿宋" w:cs="仿宋_GB2312" w:hint="eastAsia"/>
          <w:sz w:val="32"/>
          <w:szCs w:val="32"/>
          <w:lang w:eastAsia="zh-CN"/>
        </w:rPr>
        <w:t>项。</w:t>
      </w:r>
    </w:p>
    <w:p w:rsidR="008A6DCE" w:rsidRPr="00780CB1" w:rsidRDefault="008A6DCE" w:rsidP="005321EF">
      <w:pPr>
        <w:spacing w:before="0" w:after="0" w:line="240" w:lineRule="exact"/>
        <w:ind w:firstLineChars="200" w:firstLine="640"/>
        <w:rPr>
          <w:rFonts w:ascii="仿宋_GB2312" w:eastAsia="仿宋_GB2312" w:hAnsi="仿宋"/>
          <w:sz w:val="32"/>
          <w:szCs w:val="32"/>
          <w:lang w:eastAsia="zh-C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7"/>
        <w:gridCol w:w="557"/>
        <w:gridCol w:w="557"/>
        <w:gridCol w:w="557"/>
        <w:gridCol w:w="557"/>
        <w:gridCol w:w="557"/>
        <w:gridCol w:w="556"/>
        <w:gridCol w:w="556"/>
        <w:gridCol w:w="556"/>
        <w:gridCol w:w="556"/>
        <w:gridCol w:w="556"/>
        <w:gridCol w:w="556"/>
        <w:gridCol w:w="556"/>
        <w:gridCol w:w="556"/>
        <w:gridCol w:w="531"/>
      </w:tblGrid>
      <w:tr w:rsidR="008A6DCE" w:rsidRPr="00C172A2">
        <w:trPr>
          <w:trHeight w:val="676"/>
        </w:trPr>
        <w:tc>
          <w:tcPr>
            <w:tcW w:w="557" w:type="dxa"/>
            <w:vAlign w:val="center"/>
          </w:tcPr>
          <w:p w:rsidR="008A6DCE"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地</w:t>
            </w:r>
          </w:p>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区</w:t>
            </w:r>
          </w:p>
        </w:tc>
        <w:tc>
          <w:tcPr>
            <w:tcW w:w="557"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南京</w:t>
            </w:r>
          </w:p>
        </w:tc>
        <w:tc>
          <w:tcPr>
            <w:tcW w:w="557"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无锡</w:t>
            </w:r>
          </w:p>
        </w:tc>
        <w:tc>
          <w:tcPr>
            <w:tcW w:w="557"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徐州</w:t>
            </w:r>
          </w:p>
        </w:tc>
        <w:tc>
          <w:tcPr>
            <w:tcW w:w="557"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常州</w:t>
            </w:r>
          </w:p>
        </w:tc>
        <w:tc>
          <w:tcPr>
            <w:tcW w:w="557"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苏州</w:t>
            </w:r>
          </w:p>
        </w:tc>
        <w:tc>
          <w:tcPr>
            <w:tcW w:w="556"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南通</w:t>
            </w:r>
          </w:p>
        </w:tc>
        <w:tc>
          <w:tcPr>
            <w:tcW w:w="556"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连云港</w:t>
            </w:r>
          </w:p>
        </w:tc>
        <w:tc>
          <w:tcPr>
            <w:tcW w:w="556"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淮安</w:t>
            </w:r>
          </w:p>
        </w:tc>
        <w:tc>
          <w:tcPr>
            <w:tcW w:w="556"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盐城</w:t>
            </w:r>
          </w:p>
        </w:tc>
        <w:tc>
          <w:tcPr>
            <w:tcW w:w="556"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扬州</w:t>
            </w:r>
          </w:p>
        </w:tc>
        <w:tc>
          <w:tcPr>
            <w:tcW w:w="556"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镇江</w:t>
            </w:r>
          </w:p>
        </w:tc>
        <w:tc>
          <w:tcPr>
            <w:tcW w:w="556"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泰州</w:t>
            </w:r>
          </w:p>
        </w:tc>
        <w:tc>
          <w:tcPr>
            <w:tcW w:w="556"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宿迁</w:t>
            </w:r>
          </w:p>
        </w:tc>
        <w:tc>
          <w:tcPr>
            <w:tcW w:w="512" w:type="dxa"/>
            <w:vAlign w:val="center"/>
          </w:tcPr>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合计</w:t>
            </w:r>
          </w:p>
        </w:tc>
      </w:tr>
      <w:tr w:rsidR="008A6DCE" w:rsidRPr="00C172A2">
        <w:trPr>
          <w:trHeight w:val="816"/>
        </w:trPr>
        <w:tc>
          <w:tcPr>
            <w:tcW w:w="557" w:type="dxa"/>
            <w:vAlign w:val="center"/>
          </w:tcPr>
          <w:p w:rsidR="008A6DCE"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数</w:t>
            </w:r>
          </w:p>
          <w:p w:rsidR="008A6DCE" w:rsidRPr="005321EF" w:rsidRDefault="008A6DCE" w:rsidP="005321EF">
            <w:pPr>
              <w:spacing w:before="0" w:after="0" w:line="280" w:lineRule="exact"/>
              <w:jc w:val="center"/>
              <w:rPr>
                <w:rFonts w:ascii="宋体"/>
                <w:sz w:val="21"/>
                <w:szCs w:val="21"/>
                <w:lang w:eastAsia="zh-CN"/>
              </w:rPr>
            </w:pPr>
            <w:r w:rsidRPr="005321EF">
              <w:rPr>
                <w:rFonts w:ascii="宋体" w:hAnsi="宋体" w:cs="宋体" w:hint="eastAsia"/>
                <w:sz w:val="21"/>
                <w:szCs w:val="21"/>
                <w:lang w:eastAsia="zh-CN"/>
              </w:rPr>
              <w:t>额</w:t>
            </w:r>
          </w:p>
        </w:tc>
        <w:tc>
          <w:tcPr>
            <w:tcW w:w="557"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20</w:t>
            </w:r>
          </w:p>
        </w:tc>
        <w:tc>
          <w:tcPr>
            <w:tcW w:w="557"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10</w:t>
            </w:r>
          </w:p>
        </w:tc>
        <w:tc>
          <w:tcPr>
            <w:tcW w:w="557"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10</w:t>
            </w:r>
          </w:p>
        </w:tc>
        <w:tc>
          <w:tcPr>
            <w:tcW w:w="557"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15</w:t>
            </w:r>
          </w:p>
        </w:tc>
        <w:tc>
          <w:tcPr>
            <w:tcW w:w="557"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15</w:t>
            </w:r>
          </w:p>
        </w:tc>
        <w:tc>
          <w:tcPr>
            <w:tcW w:w="556"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10</w:t>
            </w:r>
          </w:p>
        </w:tc>
        <w:tc>
          <w:tcPr>
            <w:tcW w:w="556"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10</w:t>
            </w:r>
          </w:p>
        </w:tc>
        <w:tc>
          <w:tcPr>
            <w:tcW w:w="556"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10</w:t>
            </w:r>
          </w:p>
        </w:tc>
        <w:tc>
          <w:tcPr>
            <w:tcW w:w="556"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10</w:t>
            </w:r>
          </w:p>
        </w:tc>
        <w:tc>
          <w:tcPr>
            <w:tcW w:w="556"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10</w:t>
            </w:r>
          </w:p>
        </w:tc>
        <w:tc>
          <w:tcPr>
            <w:tcW w:w="556"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10</w:t>
            </w:r>
          </w:p>
        </w:tc>
        <w:tc>
          <w:tcPr>
            <w:tcW w:w="556"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10</w:t>
            </w:r>
          </w:p>
        </w:tc>
        <w:tc>
          <w:tcPr>
            <w:tcW w:w="556"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10</w:t>
            </w:r>
          </w:p>
        </w:tc>
        <w:tc>
          <w:tcPr>
            <w:tcW w:w="512" w:type="dxa"/>
            <w:vAlign w:val="center"/>
          </w:tcPr>
          <w:p w:rsidR="008A6DCE" w:rsidRPr="005321EF" w:rsidRDefault="008A6DCE" w:rsidP="005321EF">
            <w:pPr>
              <w:spacing w:before="0" w:after="0" w:line="280" w:lineRule="exact"/>
              <w:jc w:val="center"/>
              <w:rPr>
                <w:rFonts w:ascii="宋体" w:hAnsi="宋体" w:cs="宋体"/>
                <w:sz w:val="21"/>
                <w:szCs w:val="21"/>
                <w:lang w:eastAsia="zh-CN"/>
              </w:rPr>
            </w:pPr>
            <w:r w:rsidRPr="005321EF">
              <w:rPr>
                <w:rFonts w:ascii="宋体" w:hAnsi="宋体" w:cs="宋体"/>
                <w:sz w:val="21"/>
                <w:szCs w:val="21"/>
                <w:lang w:eastAsia="zh-CN"/>
              </w:rPr>
              <w:t>150</w:t>
            </w:r>
          </w:p>
        </w:tc>
      </w:tr>
    </w:tbl>
    <w:p w:rsidR="008A6DCE" w:rsidRDefault="008A6DCE" w:rsidP="005321EF">
      <w:pPr>
        <w:spacing w:before="0" w:after="0" w:line="240" w:lineRule="exact"/>
        <w:rPr>
          <w:rFonts w:ascii="仿宋" w:eastAsia="仿宋" w:hAnsi="仿宋"/>
          <w:sz w:val="28"/>
          <w:szCs w:val="28"/>
          <w:lang w:eastAsia="zh-CN"/>
        </w:rPr>
      </w:pPr>
    </w:p>
    <w:p w:rsidR="008A6DCE" w:rsidRPr="00780CB1" w:rsidRDefault="008A6DCE" w:rsidP="00780CB1">
      <w:pPr>
        <w:spacing w:before="0" w:after="0" w:line="580" w:lineRule="exact"/>
        <w:ind w:firstLineChars="200" w:firstLine="640"/>
        <w:rPr>
          <w:rFonts w:ascii="仿宋_GB2312" w:eastAsia="仿宋_GB2312" w:hAnsi="仿宋"/>
          <w:sz w:val="32"/>
          <w:szCs w:val="32"/>
          <w:lang w:eastAsia="zh-CN"/>
        </w:rPr>
      </w:pPr>
      <w:r w:rsidRPr="00780CB1">
        <w:rPr>
          <w:rFonts w:ascii="仿宋_GB2312" w:eastAsia="仿宋_GB2312" w:hAnsi="仿宋" w:cs="仿宋_GB2312"/>
          <w:sz w:val="32"/>
          <w:szCs w:val="32"/>
          <w:lang w:eastAsia="zh-CN"/>
        </w:rPr>
        <w:t>2.</w:t>
      </w:r>
      <w:r w:rsidRPr="00780CB1">
        <w:rPr>
          <w:rFonts w:ascii="仿宋_GB2312" w:eastAsia="仿宋_GB2312" w:hAnsi="仿宋" w:cs="仿宋_GB2312" w:hint="eastAsia"/>
          <w:sz w:val="32"/>
          <w:szCs w:val="32"/>
          <w:lang w:eastAsia="zh-CN"/>
        </w:rPr>
        <w:t>各大市规划办组织符合条件的申报对象申报并进行初评，并按照分配的申报数额，将初评结果按照省规划办规定的程序提交。</w:t>
      </w:r>
    </w:p>
    <w:p w:rsidR="008A6DCE" w:rsidRPr="00780CB1" w:rsidRDefault="008A6DCE" w:rsidP="00780CB1">
      <w:pPr>
        <w:spacing w:before="0" w:after="0" w:line="580" w:lineRule="exact"/>
        <w:ind w:firstLineChars="200" w:firstLine="640"/>
        <w:rPr>
          <w:rFonts w:ascii="仿宋_GB2312" w:eastAsia="仿宋_GB2312" w:hAnsi="仿宋"/>
          <w:sz w:val="32"/>
          <w:szCs w:val="32"/>
          <w:lang w:eastAsia="zh-CN"/>
        </w:rPr>
      </w:pPr>
      <w:r w:rsidRPr="00780CB1">
        <w:rPr>
          <w:rFonts w:ascii="仿宋_GB2312" w:eastAsia="仿宋_GB2312" w:hAnsi="仿宋" w:cs="仿宋_GB2312"/>
          <w:sz w:val="32"/>
          <w:szCs w:val="32"/>
          <w:lang w:eastAsia="zh-CN"/>
        </w:rPr>
        <w:t>3.</w:t>
      </w:r>
      <w:r w:rsidRPr="00780CB1">
        <w:rPr>
          <w:rFonts w:ascii="仿宋_GB2312" w:eastAsia="仿宋_GB2312" w:hAnsi="仿宋" w:cs="仿宋_GB2312" w:hint="eastAsia"/>
          <w:sz w:val="32"/>
          <w:szCs w:val="32"/>
          <w:lang w:eastAsia="zh-CN"/>
        </w:rPr>
        <w:t>省教师发展研究所组织专家进行复评，选出若干项报省规划办参加终评。</w:t>
      </w:r>
    </w:p>
    <w:p w:rsidR="008A6DCE" w:rsidRPr="00780CB1" w:rsidRDefault="008A6DCE" w:rsidP="00780CB1">
      <w:pPr>
        <w:spacing w:before="0" w:after="0" w:line="580" w:lineRule="exact"/>
        <w:ind w:firstLineChars="200" w:firstLine="640"/>
        <w:rPr>
          <w:rFonts w:ascii="仿宋_GB2312" w:eastAsia="仿宋_GB2312" w:hAnsi="仿宋"/>
          <w:sz w:val="32"/>
          <w:szCs w:val="32"/>
          <w:lang w:eastAsia="zh-CN"/>
        </w:rPr>
      </w:pPr>
      <w:r w:rsidRPr="00780CB1">
        <w:rPr>
          <w:rFonts w:ascii="仿宋_GB2312" w:eastAsia="仿宋_GB2312" w:hAnsi="仿宋" w:cs="仿宋_GB2312"/>
          <w:sz w:val="32"/>
          <w:szCs w:val="32"/>
          <w:lang w:eastAsia="zh-CN"/>
        </w:rPr>
        <w:t>4.</w:t>
      </w:r>
      <w:r w:rsidRPr="00780CB1">
        <w:rPr>
          <w:rFonts w:ascii="仿宋_GB2312" w:eastAsia="仿宋_GB2312" w:hAnsi="仿宋" w:cs="仿宋_GB2312" w:hint="eastAsia"/>
          <w:sz w:val="32"/>
          <w:szCs w:val="32"/>
          <w:lang w:eastAsia="zh-CN"/>
        </w:rPr>
        <w:t>教师发展专项课题限额申报，符合条件的申报单位只能申报一项，不占省规划办划定的各大市申报数额。课题评审不收取任何费用。</w:t>
      </w:r>
    </w:p>
    <w:p w:rsidR="008A6DCE" w:rsidRPr="00780CB1" w:rsidRDefault="008A6DCE" w:rsidP="00780CB1">
      <w:pPr>
        <w:spacing w:before="0" w:after="0" w:line="580" w:lineRule="exact"/>
        <w:ind w:firstLineChars="200" w:firstLine="640"/>
        <w:rPr>
          <w:rFonts w:ascii="黑体" w:eastAsia="黑体" w:hAnsi="黑体"/>
          <w:color w:val="000000"/>
          <w:sz w:val="32"/>
          <w:szCs w:val="32"/>
          <w:lang w:eastAsia="zh-CN"/>
        </w:rPr>
      </w:pPr>
      <w:r w:rsidRPr="00780CB1">
        <w:rPr>
          <w:rFonts w:ascii="黑体" w:eastAsia="黑体" w:hAnsi="黑体" w:cs="黑体" w:hint="eastAsia"/>
          <w:color w:val="000000"/>
          <w:sz w:val="32"/>
          <w:szCs w:val="32"/>
          <w:lang w:eastAsia="zh-CN"/>
        </w:rPr>
        <w:t>四、课题管理</w:t>
      </w:r>
    </w:p>
    <w:p w:rsidR="008A6DCE" w:rsidRPr="001A2722" w:rsidRDefault="008A6DCE" w:rsidP="001A2722">
      <w:pPr>
        <w:spacing w:before="0" w:after="0" w:line="580" w:lineRule="exact"/>
        <w:ind w:firstLineChars="200" w:firstLine="640"/>
        <w:rPr>
          <w:rFonts w:ascii="仿宋_GB2312" w:eastAsia="仿宋_GB2312" w:hAnsi="仿宋"/>
          <w:sz w:val="32"/>
          <w:szCs w:val="32"/>
          <w:lang w:eastAsia="zh-CN"/>
        </w:rPr>
      </w:pPr>
      <w:r w:rsidRPr="001A2722">
        <w:rPr>
          <w:rFonts w:ascii="仿宋_GB2312" w:eastAsia="仿宋_GB2312" w:hAnsi="仿宋" w:cs="仿宋_GB2312"/>
          <w:sz w:val="32"/>
          <w:szCs w:val="32"/>
          <w:lang w:eastAsia="zh-CN"/>
        </w:rPr>
        <w:t>1.</w:t>
      </w:r>
      <w:r w:rsidRPr="001A2722">
        <w:rPr>
          <w:rFonts w:ascii="仿宋_GB2312" w:eastAsia="仿宋_GB2312" w:hAnsi="仿宋" w:cs="仿宋_GB2312" w:hint="eastAsia"/>
          <w:sz w:val="32"/>
          <w:szCs w:val="32"/>
          <w:lang w:eastAsia="zh-CN"/>
        </w:rPr>
        <w:t>教师发展研究专项课题严格执行《江苏省教育科学“十四五”规划课题管理规程》。</w:t>
      </w:r>
    </w:p>
    <w:p w:rsidR="008A6DCE" w:rsidRPr="001A2722" w:rsidRDefault="008A6DCE" w:rsidP="001A2722">
      <w:pPr>
        <w:spacing w:before="0" w:after="0" w:line="580" w:lineRule="exact"/>
        <w:ind w:firstLineChars="200" w:firstLine="640"/>
        <w:rPr>
          <w:rFonts w:ascii="仿宋_GB2312" w:eastAsia="仿宋_GB2312" w:hAnsi="仿宋"/>
          <w:sz w:val="32"/>
          <w:szCs w:val="32"/>
          <w:lang w:eastAsia="zh-CN"/>
        </w:rPr>
      </w:pPr>
      <w:r>
        <w:rPr>
          <w:noProof/>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7" o:spid="_x0000_s1026" type="#_x0000_t75" alt="ooxWord://word/media/image19.jpeg" style="position:absolute;left:0;text-align:left;margin-left:0;margin-top:0;width:1pt;height:1pt;z-index:-251658240;visibility:visible;mso-position-horizontal-relative:page;mso-position-vertical-relative:page">
            <v:imagedata r:id="rId6" o:title=""/>
            <w10:wrap anchorx="page" anchory="page"/>
          </v:shape>
        </w:pict>
      </w:r>
      <w:r w:rsidRPr="001A2722">
        <w:rPr>
          <w:rFonts w:ascii="仿宋_GB2312" w:eastAsia="仿宋_GB2312" w:hAnsi="仿宋" w:cs="仿宋_GB2312"/>
          <w:sz w:val="32"/>
          <w:szCs w:val="32"/>
          <w:lang w:eastAsia="zh-CN"/>
        </w:rPr>
        <w:t>2.</w:t>
      </w:r>
      <w:r w:rsidRPr="001A2722">
        <w:rPr>
          <w:rFonts w:ascii="仿宋_GB2312" w:eastAsia="仿宋_GB2312" w:hAnsi="仿宋" w:cs="仿宋_GB2312" w:hint="eastAsia"/>
          <w:sz w:val="32"/>
          <w:szCs w:val="32"/>
          <w:lang w:eastAsia="zh-CN"/>
        </w:rPr>
        <w:t>教师发展专项课题要求在</w:t>
      </w:r>
      <w:r w:rsidRPr="001A2722">
        <w:rPr>
          <w:rFonts w:ascii="仿宋_GB2312" w:eastAsia="仿宋_GB2312" w:hAnsi="仿宋" w:cs="仿宋_GB2312"/>
          <w:sz w:val="32"/>
          <w:szCs w:val="32"/>
          <w:lang w:eastAsia="zh-CN"/>
        </w:rPr>
        <w:t>2</w:t>
      </w:r>
      <w:r w:rsidRPr="001A2722">
        <w:rPr>
          <w:rFonts w:ascii="仿宋_GB2312" w:eastAsia="仿宋_GB2312" w:hAnsi="仿宋" w:cs="仿宋_GB2312" w:hint="eastAsia"/>
          <w:sz w:val="32"/>
          <w:szCs w:val="32"/>
          <w:lang w:eastAsia="zh-CN"/>
        </w:rPr>
        <w:t>～</w:t>
      </w:r>
      <w:r w:rsidRPr="001A2722">
        <w:rPr>
          <w:rFonts w:ascii="仿宋_GB2312" w:eastAsia="仿宋_GB2312" w:hAnsi="仿宋" w:cs="仿宋_GB2312"/>
          <w:sz w:val="32"/>
          <w:szCs w:val="32"/>
          <w:lang w:eastAsia="zh-CN"/>
        </w:rPr>
        <w:t>3</w:t>
      </w:r>
      <w:r w:rsidRPr="001A2722">
        <w:rPr>
          <w:rFonts w:ascii="仿宋_GB2312" w:eastAsia="仿宋_GB2312" w:hAnsi="仿宋" w:cs="仿宋_GB2312" w:hint="eastAsia"/>
          <w:sz w:val="32"/>
          <w:szCs w:val="32"/>
          <w:lang w:eastAsia="zh-CN"/>
        </w:rPr>
        <w:t>年内完成，最长不超过</w:t>
      </w:r>
      <w:r w:rsidRPr="001A2722">
        <w:rPr>
          <w:rFonts w:ascii="仿宋_GB2312" w:eastAsia="仿宋_GB2312" w:hAnsi="仿宋" w:cs="仿宋_GB2312"/>
          <w:sz w:val="32"/>
          <w:szCs w:val="32"/>
          <w:lang w:eastAsia="zh-CN"/>
        </w:rPr>
        <w:t>5</w:t>
      </w:r>
      <w:r w:rsidRPr="001A2722">
        <w:rPr>
          <w:rFonts w:ascii="仿宋_GB2312" w:eastAsia="仿宋_GB2312" w:hAnsi="仿宋" w:cs="仿宋_GB2312" w:hint="eastAsia"/>
          <w:sz w:val="32"/>
          <w:szCs w:val="32"/>
          <w:lang w:eastAsia="zh-CN"/>
        </w:rPr>
        <w:t>年，要求每年提交阶段性研究成果。研究成果须满足教师发展的需求，符合学术规范，体现创新，有所建树。</w:t>
      </w:r>
    </w:p>
    <w:p w:rsidR="008A6DCE" w:rsidRPr="008D3E71" w:rsidRDefault="008A6DCE" w:rsidP="00780CB1">
      <w:pPr>
        <w:spacing w:before="0" w:after="0" w:line="580" w:lineRule="exact"/>
        <w:ind w:leftChars="50" w:left="110" w:firstLineChars="150" w:firstLine="420"/>
        <w:rPr>
          <w:rFonts w:eastAsia="仿宋"/>
          <w:color w:val="000000"/>
          <w:sz w:val="28"/>
          <w:szCs w:val="28"/>
          <w:lang w:eastAsia="zh-CN"/>
        </w:rPr>
      </w:pPr>
      <w:bookmarkStart w:id="2" w:name="_GoBack"/>
      <w:bookmarkEnd w:id="2"/>
    </w:p>
    <w:sectPr w:rsidR="008A6DCE" w:rsidRPr="008D3E71" w:rsidSect="005B6915">
      <w:pgSz w:w="11906" w:h="16838"/>
      <w:pgMar w:top="1474" w:right="1797" w:bottom="1474" w:left="1797" w:header="851"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DCE" w:rsidRDefault="008A6DCE" w:rsidP="00FB20EA">
      <w:pPr>
        <w:spacing w:before="0" w:after="0"/>
      </w:pPr>
      <w:r>
        <w:separator/>
      </w:r>
    </w:p>
  </w:endnote>
  <w:endnote w:type="continuationSeparator" w:id="0">
    <w:p w:rsidR="008A6DCE" w:rsidRDefault="008A6DCE" w:rsidP="00FB20EA">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DCE" w:rsidRDefault="008A6DCE" w:rsidP="00FB20EA">
      <w:pPr>
        <w:spacing w:before="0" w:after="0"/>
      </w:pPr>
      <w:r>
        <w:separator/>
      </w:r>
    </w:p>
  </w:footnote>
  <w:footnote w:type="continuationSeparator" w:id="0">
    <w:p w:rsidR="008A6DCE" w:rsidRDefault="008A6DCE" w:rsidP="00FB20EA">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1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0098"/>
    <w:rsid w:val="000109DF"/>
    <w:rsid w:val="000216EB"/>
    <w:rsid w:val="00091506"/>
    <w:rsid w:val="000D006C"/>
    <w:rsid w:val="000E256B"/>
    <w:rsid w:val="000E2ACD"/>
    <w:rsid w:val="00130F86"/>
    <w:rsid w:val="00132DAA"/>
    <w:rsid w:val="0018523A"/>
    <w:rsid w:val="001A2722"/>
    <w:rsid w:val="001D0661"/>
    <w:rsid w:val="002319A2"/>
    <w:rsid w:val="00244B3B"/>
    <w:rsid w:val="002668D7"/>
    <w:rsid w:val="002726C1"/>
    <w:rsid w:val="00273605"/>
    <w:rsid w:val="00293F58"/>
    <w:rsid w:val="002D4BB6"/>
    <w:rsid w:val="002E64F5"/>
    <w:rsid w:val="00301152"/>
    <w:rsid w:val="00310E9D"/>
    <w:rsid w:val="003703B8"/>
    <w:rsid w:val="003916E7"/>
    <w:rsid w:val="003D7A5C"/>
    <w:rsid w:val="003E2184"/>
    <w:rsid w:val="00400A49"/>
    <w:rsid w:val="0040131E"/>
    <w:rsid w:val="004124AE"/>
    <w:rsid w:val="00444B57"/>
    <w:rsid w:val="004933E8"/>
    <w:rsid w:val="004A0F75"/>
    <w:rsid w:val="004F10A8"/>
    <w:rsid w:val="004F4F70"/>
    <w:rsid w:val="005004BA"/>
    <w:rsid w:val="0051081A"/>
    <w:rsid w:val="00511CCC"/>
    <w:rsid w:val="005321EF"/>
    <w:rsid w:val="00532D1E"/>
    <w:rsid w:val="00586330"/>
    <w:rsid w:val="005A0652"/>
    <w:rsid w:val="005B6915"/>
    <w:rsid w:val="005C1EFA"/>
    <w:rsid w:val="005C5918"/>
    <w:rsid w:val="005D770C"/>
    <w:rsid w:val="00613501"/>
    <w:rsid w:val="00626456"/>
    <w:rsid w:val="00641BD2"/>
    <w:rsid w:val="00655453"/>
    <w:rsid w:val="0067101B"/>
    <w:rsid w:val="00747C38"/>
    <w:rsid w:val="00780CB1"/>
    <w:rsid w:val="0079370C"/>
    <w:rsid w:val="007A08F4"/>
    <w:rsid w:val="007B3E07"/>
    <w:rsid w:val="007C602F"/>
    <w:rsid w:val="008914E7"/>
    <w:rsid w:val="008A6DCE"/>
    <w:rsid w:val="008D3E61"/>
    <w:rsid w:val="008D3E71"/>
    <w:rsid w:val="00910542"/>
    <w:rsid w:val="00923F9F"/>
    <w:rsid w:val="00934753"/>
    <w:rsid w:val="009358F6"/>
    <w:rsid w:val="00942A07"/>
    <w:rsid w:val="00965945"/>
    <w:rsid w:val="009B4583"/>
    <w:rsid w:val="009E04E4"/>
    <w:rsid w:val="00A07B7D"/>
    <w:rsid w:val="00A10852"/>
    <w:rsid w:val="00A41568"/>
    <w:rsid w:val="00A50D02"/>
    <w:rsid w:val="00A717FD"/>
    <w:rsid w:val="00A73FA4"/>
    <w:rsid w:val="00A84036"/>
    <w:rsid w:val="00A90F32"/>
    <w:rsid w:val="00AF195F"/>
    <w:rsid w:val="00AF696D"/>
    <w:rsid w:val="00B123F7"/>
    <w:rsid w:val="00B52C63"/>
    <w:rsid w:val="00B67D5B"/>
    <w:rsid w:val="00B7133F"/>
    <w:rsid w:val="00B843F8"/>
    <w:rsid w:val="00BA077A"/>
    <w:rsid w:val="00BA5FE7"/>
    <w:rsid w:val="00BF7CEA"/>
    <w:rsid w:val="00C0217A"/>
    <w:rsid w:val="00C04822"/>
    <w:rsid w:val="00C11DAC"/>
    <w:rsid w:val="00C16640"/>
    <w:rsid w:val="00C172A2"/>
    <w:rsid w:val="00C22BAF"/>
    <w:rsid w:val="00C5577A"/>
    <w:rsid w:val="00CD13EE"/>
    <w:rsid w:val="00CD27B2"/>
    <w:rsid w:val="00CE0535"/>
    <w:rsid w:val="00CF5F25"/>
    <w:rsid w:val="00D138F7"/>
    <w:rsid w:val="00D1513A"/>
    <w:rsid w:val="00D7258C"/>
    <w:rsid w:val="00D80D18"/>
    <w:rsid w:val="00DE1766"/>
    <w:rsid w:val="00E130DF"/>
    <w:rsid w:val="00E15127"/>
    <w:rsid w:val="00EC70ED"/>
    <w:rsid w:val="00ED3D45"/>
    <w:rsid w:val="00EE118A"/>
    <w:rsid w:val="00EF1546"/>
    <w:rsid w:val="00F2681C"/>
    <w:rsid w:val="00F7693C"/>
    <w:rsid w:val="00F81F20"/>
    <w:rsid w:val="00F90098"/>
    <w:rsid w:val="00FB20EA"/>
    <w:rsid w:val="00FF15F4"/>
    <w:rsid w:val="0B0318CF"/>
    <w:rsid w:val="78D660D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95F"/>
    <w:pPr>
      <w:spacing w:before="120" w:after="240"/>
      <w:jc w:val="both"/>
    </w:pPr>
    <w:rPr>
      <w:rFonts w:cs="Calibri"/>
      <w:sz w:val="22"/>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F195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F195F"/>
    <w:rPr>
      <w:sz w:val="18"/>
      <w:szCs w:val="18"/>
      <w:lang w:val="ru-RU" w:eastAsia="en-US"/>
    </w:rPr>
  </w:style>
  <w:style w:type="paragraph" w:styleId="Header">
    <w:name w:val="header"/>
    <w:basedOn w:val="Normal"/>
    <w:link w:val="HeaderChar"/>
    <w:uiPriority w:val="99"/>
    <w:rsid w:val="00AF195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F195F"/>
    <w:rPr>
      <w:sz w:val="18"/>
      <w:szCs w:val="18"/>
      <w:lang w:val="ru-RU" w:eastAsia="en-US"/>
    </w:rPr>
  </w:style>
  <w:style w:type="paragraph" w:styleId="BalloonText">
    <w:name w:val="Balloon Text"/>
    <w:basedOn w:val="Normal"/>
    <w:link w:val="BalloonTextChar"/>
    <w:uiPriority w:val="99"/>
    <w:semiHidden/>
    <w:rsid w:val="00BA077A"/>
    <w:pPr>
      <w:spacing w:before="0" w:after="0"/>
    </w:pPr>
    <w:rPr>
      <w:rFonts w:ascii="宋体" w:cs="宋体"/>
      <w:sz w:val="18"/>
      <w:szCs w:val="18"/>
    </w:rPr>
  </w:style>
  <w:style w:type="character" w:customStyle="1" w:styleId="BalloonTextChar">
    <w:name w:val="Balloon Text Char"/>
    <w:basedOn w:val="DefaultParagraphFont"/>
    <w:link w:val="BalloonText"/>
    <w:uiPriority w:val="99"/>
    <w:semiHidden/>
    <w:locked/>
    <w:rsid w:val="00BA077A"/>
    <w:rPr>
      <w:rFonts w:ascii="宋体" w:eastAsia="宋体" w:cs="宋体"/>
      <w:kern w:val="2"/>
      <w:sz w:val="18"/>
      <w:szCs w:val="18"/>
      <w:lang w:val="ru-RU" w:eastAsia="en-US"/>
    </w:rPr>
  </w:style>
  <w:style w:type="paragraph" w:styleId="ListParagraph">
    <w:name w:val="List Paragraph"/>
    <w:basedOn w:val="Normal"/>
    <w:uiPriority w:val="99"/>
    <w:qFormat/>
    <w:rsid w:val="00EF1546"/>
    <w:pPr>
      <w:ind w:firstLineChars="200" w:firstLine="420"/>
    </w:pPr>
  </w:style>
  <w:style w:type="table" w:styleId="TableGrid">
    <w:name w:val="Table Grid"/>
    <w:basedOn w:val="TableNormal"/>
    <w:uiPriority w:val="99"/>
    <w:rsid w:val="00613501"/>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270</TotalTime>
  <Pages>2</Pages>
  <Words>138</Words>
  <Characters>787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xubojun</dc:creator>
  <cp:keywords/>
  <dc:description/>
  <cp:lastModifiedBy>walkinnet</cp:lastModifiedBy>
  <cp:revision>77</cp:revision>
  <cp:lastPrinted>2021-07-28T08:50:00Z</cp:lastPrinted>
  <dcterms:created xsi:type="dcterms:W3CDTF">2019-07-01T04:17:00Z</dcterms:created>
  <dcterms:modified xsi:type="dcterms:W3CDTF">2021-08-30T02:03:00Z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